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09271FF">
      <w:pPr>
        <w:keepNext w:val="0"/>
        <w:keepLines w:val="0"/>
        <w:pageBreakBefore w:val="0"/>
        <w:widowControl w:val="0"/>
        <w:numPr>
          <w:ilvl w:val="0"/>
          <w:numId w:val="0"/>
        </w:numPr>
        <w:kinsoku/>
        <w:wordWrap/>
        <w:overflowPunct/>
        <w:topLinePunct w:val="0"/>
        <w:autoSpaceDE/>
        <w:autoSpaceDN/>
        <w:bidi w:val="0"/>
        <w:adjustRightInd/>
        <w:snapToGrid/>
        <w:spacing w:line="460" w:lineRule="exact"/>
        <w:ind w:left="0" w:leftChars="0" w:firstLine="0" w:firstLineChars="0"/>
        <w:jc w:val="left"/>
        <w:textAlignment w:val="auto"/>
        <w:rPr>
          <w:rFonts w:hint="eastAsia"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b w:val="0"/>
          <w:bCs/>
          <w:sz w:val="28"/>
          <w:szCs w:val="28"/>
          <w:highlight w:val="none"/>
          <w:lang w:val="en-US" w:eastAsia="zh-CN"/>
        </w:rPr>
        <w:t>附件1</w:t>
      </w:r>
    </w:p>
    <w:p w14:paraId="1FC8196A">
      <w:pPr>
        <w:spacing w:before="312" w:beforeLines="100" w:after="157" w:afterLines="50"/>
        <w:jc w:val="center"/>
        <w:rPr>
          <w:rFonts w:hint="eastAsia" w:ascii="华文仿宋" w:hAnsi="华文仿宋" w:eastAsia="华文仿宋" w:cs="华文仿宋"/>
          <w:sz w:val="44"/>
          <w:szCs w:val="44"/>
        </w:rPr>
      </w:pPr>
      <w:r>
        <w:rPr>
          <w:rFonts w:hint="eastAsia" w:ascii="华文仿宋" w:hAnsi="华文仿宋" w:eastAsia="华文仿宋" w:cs="华文仿宋"/>
          <w:sz w:val="44"/>
          <w:szCs w:val="44"/>
        </w:rPr>
        <w:t>知识产权及保密承诺书</w:t>
      </w:r>
    </w:p>
    <w:p w14:paraId="4C93FF04">
      <w:pPr>
        <w:spacing w:line="480" w:lineRule="exact"/>
        <w:ind w:firstLine="579" w:firstLineChars="207"/>
        <w:jc w:val="left"/>
        <w:rPr>
          <w:rFonts w:hint="eastAsia" w:ascii="华文仿宋" w:hAnsi="华文仿宋" w:eastAsia="华文仿宋" w:cs="华文仿宋"/>
        </w:rPr>
      </w:pPr>
      <w:r>
        <w:rPr>
          <w:rFonts w:hint="eastAsia" w:ascii="华文仿宋" w:hAnsi="华文仿宋" w:eastAsia="华文仿宋" w:cs="华文仿宋"/>
        </w:rPr>
        <w:t>应征方响应内蒙古昆明卷烟有限责任公司（以下简称蒙昆公司）</w:t>
      </w:r>
      <w:r>
        <w:rPr>
          <w:rFonts w:hint="eastAsia" w:ascii="华文仿宋" w:hAnsi="华文仿宋" w:eastAsia="华文仿宋" w:cs="华文仿宋"/>
          <w:u w:val="single"/>
        </w:rPr>
        <w:t>《</w:t>
      </w:r>
      <w:r>
        <w:rPr>
          <w:rFonts w:hint="eastAsia" w:ascii="华文仿宋" w:hAnsi="华文仿宋" w:eastAsia="华文仿宋" w:cs="华文仿宋"/>
          <w:u w:val="single"/>
          <w:lang w:val="en-US" w:eastAsia="zh-CN"/>
        </w:rPr>
        <w:t>2025年</w:t>
      </w:r>
      <w:r>
        <w:rPr>
          <w:rFonts w:hint="eastAsia" w:ascii="华文仿宋" w:hAnsi="华文仿宋" w:eastAsia="华文仿宋" w:cs="华文仿宋"/>
          <w:highlight w:val="none"/>
          <w:u w:val="single"/>
          <w:lang w:eastAsia="zh-CN"/>
        </w:rPr>
        <w:t>白沙</w:t>
      </w:r>
      <w:r>
        <w:rPr>
          <w:rFonts w:hint="eastAsia" w:ascii="华文仿宋" w:hAnsi="华文仿宋" w:eastAsia="华文仿宋" w:cs="华文仿宋"/>
          <w:highlight w:val="none"/>
          <w:u w:val="single"/>
        </w:rPr>
        <w:t>(</w:t>
      </w:r>
      <w:r>
        <w:rPr>
          <w:rFonts w:hint="eastAsia" w:ascii="华文仿宋" w:hAnsi="华文仿宋" w:eastAsia="华文仿宋" w:cs="华文仿宋"/>
          <w:highlight w:val="none"/>
          <w:u w:val="single"/>
          <w:lang w:eastAsia="zh-CN"/>
        </w:rPr>
        <w:t>昭君</w:t>
      </w:r>
      <w:r>
        <w:rPr>
          <w:rFonts w:hint="eastAsia" w:ascii="华文仿宋" w:hAnsi="华文仿宋" w:eastAsia="华文仿宋" w:cs="华文仿宋"/>
          <w:highlight w:val="none"/>
          <w:u w:val="single"/>
        </w:rPr>
        <w:t>)</w:t>
      </w:r>
      <w:r>
        <w:rPr>
          <w:rFonts w:hint="eastAsia" w:ascii="华文仿宋" w:hAnsi="华文仿宋" w:eastAsia="华文仿宋" w:cs="华文仿宋"/>
          <w:u w:val="single"/>
          <w:lang w:eastAsia="zh-CN"/>
        </w:rPr>
        <w:t>升级改造项目包装纸、接装纸</w:t>
      </w:r>
      <w:r>
        <w:rPr>
          <w:rFonts w:hint="eastAsia" w:ascii="华文仿宋" w:hAnsi="华文仿宋" w:eastAsia="华文仿宋" w:cs="华文仿宋"/>
          <w:u w:val="single"/>
        </w:rPr>
        <w:t>设计打样征集公告》</w:t>
      </w:r>
      <w:r>
        <w:rPr>
          <w:rFonts w:hint="eastAsia" w:ascii="华文仿宋" w:hAnsi="华文仿宋" w:eastAsia="华文仿宋" w:cs="华文仿宋"/>
        </w:rPr>
        <w:t>，承诺严格按照公告要求进行打样，承担保密义务，准时</w:t>
      </w:r>
      <w:r>
        <w:rPr>
          <w:rFonts w:hint="eastAsia" w:ascii="华文仿宋" w:hAnsi="华文仿宋" w:eastAsia="华文仿宋" w:cs="华文仿宋"/>
          <w:lang w:val="en-US" w:eastAsia="zh-CN"/>
        </w:rPr>
        <w:t>提交</w:t>
      </w:r>
      <w:r>
        <w:rPr>
          <w:rFonts w:hint="eastAsia" w:ascii="华文仿宋" w:hAnsi="华文仿宋" w:eastAsia="华文仿宋" w:cs="华文仿宋"/>
        </w:rPr>
        <w:t>设计方案和打样样品。</w:t>
      </w:r>
    </w:p>
    <w:p w14:paraId="00DDDBF1">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一、</w:t>
      </w:r>
      <w:r>
        <w:rPr>
          <w:rFonts w:hint="eastAsia" w:ascii="华文仿宋" w:hAnsi="华文仿宋" w:eastAsia="华文仿宋" w:cs="华文仿宋"/>
          <w:b/>
          <w:bCs w:val="0"/>
          <w:lang w:val="en-US" w:eastAsia="zh-CN"/>
        </w:rPr>
        <w:t>应征</w:t>
      </w:r>
      <w:r>
        <w:rPr>
          <w:rFonts w:hint="eastAsia" w:ascii="华文仿宋" w:hAnsi="华文仿宋" w:eastAsia="华文仿宋" w:cs="华文仿宋"/>
          <w:b/>
          <w:bCs w:val="0"/>
        </w:rPr>
        <w:t>作品知识产权声明</w:t>
      </w:r>
      <w:r>
        <w:rPr>
          <w:rFonts w:hint="eastAsia" w:ascii="华文仿宋" w:hAnsi="华文仿宋" w:eastAsia="华文仿宋" w:cs="华文仿宋"/>
          <w:b/>
          <w:bCs w:val="0"/>
        </w:rPr>
        <w:tab/>
      </w:r>
    </w:p>
    <w:p w14:paraId="083500F0">
      <w:pPr>
        <w:spacing w:line="480" w:lineRule="exact"/>
        <w:ind w:firstLine="560" w:firstLineChars="200"/>
        <w:jc w:val="left"/>
        <w:rPr>
          <w:rFonts w:hint="eastAsia" w:ascii="华文仿宋" w:hAnsi="华文仿宋" w:eastAsia="华文仿宋" w:cs="华文仿宋"/>
        </w:rPr>
      </w:pPr>
      <w:r>
        <w:rPr>
          <w:rFonts w:hint="eastAsia" w:ascii="华文仿宋" w:hAnsi="华文仿宋" w:eastAsia="华文仿宋" w:cs="华文仿宋"/>
        </w:rPr>
        <w:t>1、应征方保证提交的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作品（包括但不限于图案、文字和印刷工艺等）为其独立创作完成，拥有充分、完全、排他的知识产权，绝无抄袭、复制、模仿他人作品的行为，同时不存在任何权利瑕疵或争议。</w:t>
      </w:r>
    </w:p>
    <w:p w14:paraId="5D909AAA">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2、应征方保证</w:t>
      </w:r>
      <w:r>
        <w:rPr>
          <w:rFonts w:hint="eastAsia" w:ascii="华文仿宋" w:hAnsi="华文仿宋" w:eastAsia="华文仿宋" w:cs="华文仿宋"/>
          <w:lang w:val="en-US" w:eastAsia="zh-CN"/>
        </w:rPr>
        <w:t>提交的应征</w:t>
      </w:r>
      <w:r>
        <w:rPr>
          <w:rFonts w:hint="eastAsia" w:ascii="华文仿宋" w:hAnsi="华文仿宋" w:eastAsia="华文仿宋" w:cs="华文仿宋"/>
        </w:rPr>
        <w:t>作品及其相关设计稿、草图，自提交之日起均不用作其他用途，并保证</w:t>
      </w:r>
      <w:r>
        <w:rPr>
          <w:rFonts w:hint="eastAsia" w:ascii="华文仿宋" w:hAnsi="华文仿宋" w:eastAsia="华文仿宋" w:cs="华文仿宋"/>
          <w:lang w:val="en-US" w:eastAsia="zh-CN"/>
        </w:rPr>
        <w:t>应征</w:t>
      </w:r>
      <w:r>
        <w:rPr>
          <w:rFonts w:hint="eastAsia" w:ascii="华文仿宋" w:hAnsi="华文仿宋" w:eastAsia="华文仿宋" w:cs="华文仿宋"/>
        </w:rPr>
        <w:t>作品未曾自行或授权任何第三方进行任何形式的使用或开发。</w:t>
      </w:r>
    </w:p>
    <w:p w14:paraId="58D5BA85">
      <w:pPr>
        <w:spacing w:line="480" w:lineRule="exact"/>
        <w:ind w:left="0" w:leftChars="0" w:firstLine="560" w:firstLineChars="200"/>
        <w:rPr>
          <w:rFonts w:hint="eastAsia" w:ascii="华文仿宋" w:hAnsi="华文仿宋" w:eastAsia="华文仿宋" w:cs="华文仿宋"/>
        </w:rPr>
      </w:pPr>
      <w:r>
        <w:rPr>
          <w:rFonts w:hint="eastAsia" w:ascii="华文仿宋" w:hAnsi="华文仿宋" w:eastAsia="华文仿宋" w:cs="华文仿宋"/>
        </w:rPr>
        <w:t>3、应征方承诺</w:t>
      </w:r>
      <w:r>
        <w:rPr>
          <w:rFonts w:hint="eastAsia" w:ascii="华文仿宋" w:hAnsi="华文仿宋" w:eastAsia="华文仿宋" w:cs="华文仿宋"/>
          <w:lang w:val="en-US" w:eastAsia="zh-CN"/>
        </w:rPr>
        <w:t>应征</w:t>
      </w:r>
      <w:r>
        <w:rPr>
          <w:rFonts w:hint="eastAsia" w:ascii="华文仿宋" w:hAnsi="华文仿宋" w:eastAsia="华文仿宋" w:cs="华文仿宋"/>
        </w:rPr>
        <w:t>作品自</w:t>
      </w:r>
      <w:r>
        <w:rPr>
          <w:rFonts w:hint="eastAsia" w:ascii="华文仿宋" w:hAnsi="华文仿宋" w:eastAsia="华文仿宋" w:cs="华文仿宋"/>
          <w:lang w:val="en-US" w:eastAsia="zh-CN"/>
        </w:rPr>
        <w:t>提交</w:t>
      </w:r>
      <w:r>
        <w:rPr>
          <w:rFonts w:hint="eastAsia" w:ascii="华文仿宋" w:hAnsi="华文仿宋" w:eastAsia="华文仿宋" w:cs="华文仿宋"/>
        </w:rPr>
        <w:t>蒙昆公司后，无论是否入选，</w:t>
      </w:r>
      <w:r>
        <w:rPr>
          <w:rFonts w:hint="eastAsia" w:ascii="华文仿宋" w:hAnsi="华文仿宋" w:eastAsia="华文仿宋" w:cs="华文仿宋"/>
          <w:lang w:val="en-US" w:eastAsia="zh-CN"/>
        </w:rPr>
        <w:t>应征作品</w:t>
      </w:r>
      <w:r>
        <w:rPr>
          <w:rFonts w:hint="eastAsia" w:ascii="华文仿宋" w:hAnsi="华文仿宋" w:eastAsia="华文仿宋" w:cs="华文仿宋"/>
        </w:rPr>
        <w:t>和相关材料及形成的知识产权（包括署名权）均归蒙昆公司永久享有，蒙昆公司有权对应征方提交的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作品及元素进行分割、重组再设计等任何形式的使用。</w:t>
      </w:r>
    </w:p>
    <w:p w14:paraId="799B17BD">
      <w:pPr>
        <w:kinsoku/>
        <w:autoSpaceDE/>
        <w:autoSpaceDN/>
        <w:adjustRightInd/>
        <w:snapToGrid/>
        <w:spacing w:line="480" w:lineRule="exact"/>
        <w:ind w:firstLine="560" w:firstLineChars="200"/>
        <w:jc w:val="left"/>
        <w:textAlignment w:val="auto"/>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应征作品涉及</w:t>
      </w:r>
      <w:r>
        <w:rPr>
          <w:rFonts w:hint="eastAsia" w:ascii="华文仿宋" w:hAnsi="华文仿宋" w:eastAsia="华文仿宋" w:cs="华文仿宋"/>
        </w:rPr>
        <w:t>第三方授权应征方使用的知识产权成果的，应征方应向蒙昆公司说明并确保已向第三方支付了</w:t>
      </w:r>
      <w:r>
        <w:rPr>
          <w:rFonts w:hint="eastAsia" w:ascii="华文仿宋" w:hAnsi="华文仿宋" w:eastAsia="华文仿宋" w:cs="华文仿宋"/>
          <w:highlight w:val="none"/>
          <w:lang w:val="en-US" w:eastAsia="zh-CN"/>
        </w:rPr>
        <w:t>相应的著作</w:t>
      </w:r>
      <w:r>
        <w:rPr>
          <w:rFonts w:hint="eastAsia" w:ascii="华文仿宋" w:hAnsi="华文仿宋" w:eastAsia="华文仿宋" w:cs="华文仿宋"/>
          <w:lang w:val="en-US" w:eastAsia="zh-CN"/>
        </w:rPr>
        <w:t>权</w:t>
      </w:r>
      <w:r>
        <w:rPr>
          <w:rFonts w:hint="eastAsia" w:ascii="华文仿宋" w:hAnsi="华文仿宋" w:eastAsia="华文仿宋" w:cs="华文仿宋"/>
        </w:rPr>
        <w:t>、专利</w:t>
      </w:r>
      <w:r>
        <w:rPr>
          <w:rFonts w:hint="eastAsia" w:ascii="华文仿宋" w:hAnsi="华文仿宋" w:eastAsia="华文仿宋" w:cs="华文仿宋"/>
          <w:lang w:val="en-US" w:eastAsia="zh-CN"/>
        </w:rPr>
        <w:t>权</w:t>
      </w:r>
      <w:r>
        <w:rPr>
          <w:rFonts w:hint="eastAsia" w:ascii="华文仿宋" w:hAnsi="华文仿宋" w:eastAsia="华文仿宋" w:cs="华文仿宋"/>
        </w:rPr>
        <w:t>、商标</w:t>
      </w:r>
      <w:r>
        <w:rPr>
          <w:rFonts w:hint="eastAsia" w:ascii="华文仿宋" w:hAnsi="华文仿宋" w:eastAsia="华文仿宋" w:cs="华文仿宋"/>
          <w:lang w:val="en-US" w:eastAsia="zh-CN"/>
        </w:rPr>
        <w:t>权</w:t>
      </w:r>
      <w:r>
        <w:rPr>
          <w:rFonts w:hint="eastAsia" w:ascii="华文仿宋" w:hAnsi="华文仿宋" w:eastAsia="华文仿宋" w:cs="华文仿宋"/>
        </w:rPr>
        <w:t>许可使用费等全部费用，并向</w:t>
      </w:r>
      <w:r>
        <w:rPr>
          <w:rFonts w:hint="eastAsia" w:ascii="华文仿宋" w:hAnsi="华文仿宋" w:eastAsia="华文仿宋" w:cs="华文仿宋"/>
          <w:lang w:val="en-US" w:eastAsia="zh-CN"/>
        </w:rPr>
        <w:t>蒙昆公司</w:t>
      </w:r>
      <w:r>
        <w:rPr>
          <w:rFonts w:hint="eastAsia" w:ascii="华文仿宋" w:hAnsi="华文仿宋" w:eastAsia="华文仿宋" w:cs="华文仿宋"/>
        </w:rPr>
        <w:t>提供完整</w:t>
      </w:r>
      <w:r>
        <w:rPr>
          <w:rFonts w:hint="eastAsia" w:ascii="华文仿宋" w:hAnsi="华文仿宋" w:eastAsia="华文仿宋" w:cs="华文仿宋"/>
          <w:lang w:val="en-US" w:eastAsia="zh-CN"/>
        </w:rPr>
        <w:t>的</w:t>
      </w:r>
      <w:r>
        <w:rPr>
          <w:rFonts w:hint="eastAsia" w:ascii="华文仿宋" w:hAnsi="华文仿宋" w:eastAsia="华文仿宋" w:cs="华文仿宋"/>
        </w:rPr>
        <w:t>授权</w:t>
      </w:r>
      <w:r>
        <w:rPr>
          <w:rFonts w:hint="eastAsia" w:ascii="华文仿宋" w:hAnsi="华文仿宋" w:eastAsia="华文仿宋" w:cs="华文仿宋"/>
          <w:lang w:val="en-US" w:eastAsia="zh-CN"/>
        </w:rPr>
        <w:t>证明材料，确保权属清晰、来源合法，应征方承诺</w:t>
      </w:r>
      <w:r>
        <w:rPr>
          <w:rFonts w:hint="eastAsia" w:ascii="华文仿宋" w:hAnsi="华文仿宋" w:eastAsia="华文仿宋" w:cs="华文仿宋"/>
        </w:rPr>
        <w:t>蒙昆公司</w:t>
      </w:r>
      <w:r>
        <w:rPr>
          <w:rFonts w:hint="eastAsia" w:ascii="华文仿宋" w:hAnsi="华文仿宋" w:eastAsia="华文仿宋" w:cs="华文仿宋"/>
          <w:lang w:val="en-US" w:eastAsia="zh-CN"/>
        </w:rPr>
        <w:t>或其指定供应商能够</w:t>
      </w:r>
      <w:r>
        <w:rPr>
          <w:rFonts w:hint="eastAsia" w:ascii="华文仿宋" w:hAnsi="华文仿宋" w:eastAsia="华文仿宋" w:cs="华文仿宋"/>
        </w:rPr>
        <w:t>无障碍取得</w:t>
      </w:r>
      <w:r>
        <w:rPr>
          <w:rFonts w:hint="eastAsia" w:ascii="华文仿宋" w:hAnsi="华文仿宋" w:eastAsia="华文仿宋" w:cs="华文仿宋"/>
          <w:lang w:val="en-US" w:eastAsia="zh-CN"/>
        </w:rPr>
        <w:t>相应知识产权</w:t>
      </w:r>
      <w:r>
        <w:rPr>
          <w:rFonts w:hint="eastAsia" w:ascii="华文仿宋" w:hAnsi="华文仿宋" w:eastAsia="华文仿宋" w:cs="华文仿宋"/>
        </w:rPr>
        <w:t>相关权利人的授权，将</w:t>
      </w:r>
      <w:r>
        <w:rPr>
          <w:rFonts w:hint="eastAsia" w:ascii="华文仿宋" w:hAnsi="华文仿宋" w:eastAsia="华文仿宋" w:cs="华文仿宋"/>
          <w:lang w:val="en-US" w:eastAsia="zh-CN"/>
        </w:rPr>
        <w:t>相应</w:t>
      </w:r>
      <w:r>
        <w:rPr>
          <w:rFonts w:hint="eastAsia" w:ascii="华文仿宋" w:hAnsi="华文仿宋" w:eastAsia="华文仿宋" w:cs="华文仿宋"/>
        </w:rPr>
        <w:t>知识产权成果用于产品的生产加工</w:t>
      </w:r>
      <w:r>
        <w:rPr>
          <w:rFonts w:hint="eastAsia" w:ascii="华文仿宋" w:hAnsi="华文仿宋" w:eastAsia="华文仿宋" w:cs="华文仿宋"/>
          <w:spacing w:val="0"/>
          <w:w w:val="100"/>
          <w:kern w:val="2"/>
        </w:rPr>
        <w:t>、市场营销等一切商业用途</w:t>
      </w:r>
      <w:r>
        <w:rPr>
          <w:rFonts w:hint="eastAsia" w:ascii="华文仿宋" w:hAnsi="华文仿宋" w:eastAsia="华文仿宋" w:cs="华文仿宋"/>
        </w:rPr>
        <w:t>。</w:t>
      </w:r>
    </w:p>
    <w:p w14:paraId="4D2A5A1A">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w:t>
      </w:r>
      <w:r>
        <w:rPr>
          <w:rFonts w:hint="eastAsia" w:ascii="华文仿宋" w:hAnsi="华文仿宋" w:eastAsia="华文仿宋" w:cs="华文仿宋"/>
        </w:rPr>
        <w:t>涉及的知识产权成果为应征方原创且未申请专利、商标等知识产权的，应征方</w:t>
      </w:r>
      <w:r>
        <w:rPr>
          <w:rFonts w:hint="eastAsia" w:ascii="华文仿宋" w:hAnsi="华文仿宋" w:eastAsia="华文仿宋" w:cs="华文仿宋"/>
          <w:lang w:val="en-US" w:eastAsia="zh-CN"/>
        </w:rPr>
        <w:t>承诺</w:t>
      </w:r>
      <w:r>
        <w:rPr>
          <w:rFonts w:hint="eastAsia" w:ascii="华文仿宋" w:hAnsi="华文仿宋" w:eastAsia="华文仿宋" w:cs="华文仿宋"/>
        </w:rPr>
        <w:t>涉及的专利权、全部或部分元素的商标权及著作权等全部知识产权均归蒙昆公司所有，蒙昆公司有权就涉及的全部知识产权成果或部分元素用于申请专利或商标或著作权登记等。</w:t>
      </w:r>
    </w:p>
    <w:p w14:paraId="10285C6F">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如应征方</w:t>
      </w:r>
      <w:r>
        <w:rPr>
          <w:rFonts w:hint="eastAsia" w:ascii="华文仿宋" w:hAnsi="华文仿宋" w:eastAsia="华文仿宋" w:cs="华文仿宋"/>
          <w:lang w:val="en-US" w:eastAsia="zh-CN"/>
        </w:rPr>
        <w:t>提交</w:t>
      </w:r>
      <w:r>
        <w:rPr>
          <w:rFonts w:hint="eastAsia" w:ascii="华文仿宋" w:hAnsi="华文仿宋" w:eastAsia="华文仿宋" w:cs="华文仿宋"/>
        </w:rPr>
        <w:t>的</w:t>
      </w:r>
      <w:r>
        <w:rPr>
          <w:rFonts w:hint="eastAsia" w:ascii="华文仿宋" w:hAnsi="华文仿宋" w:eastAsia="华文仿宋" w:cs="华文仿宋"/>
          <w:lang w:val="en-US" w:eastAsia="zh-CN"/>
        </w:rPr>
        <w:t>应征作品</w:t>
      </w:r>
      <w:r>
        <w:rPr>
          <w:rFonts w:hint="eastAsia" w:ascii="华文仿宋" w:hAnsi="华文仿宋" w:eastAsia="华文仿宋" w:cs="华文仿宋"/>
        </w:rPr>
        <w:t>涉及的知识产权成果为应征方原创且已申请专利、商标等知识产权的，应征方</w:t>
      </w:r>
      <w:r>
        <w:rPr>
          <w:rFonts w:hint="eastAsia" w:ascii="华文仿宋" w:hAnsi="华文仿宋" w:eastAsia="华文仿宋" w:cs="华文仿宋"/>
          <w:lang w:val="en-US" w:eastAsia="zh-CN"/>
        </w:rPr>
        <w:t>应向蒙昆公司说明并承诺</w:t>
      </w:r>
      <w:r>
        <w:rPr>
          <w:rFonts w:hint="eastAsia" w:ascii="华文仿宋" w:hAnsi="华文仿宋" w:eastAsia="华文仿宋" w:cs="华文仿宋"/>
        </w:rPr>
        <w:t>将涉及的专利权、商标权及著作权等全部知识产权无偿转让给蒙昆公司</w:t>
      </w:r>
      <w:r>
        <w:rPr>
          <w:rFonts w:hint="eastAsia" w:ascii="华文仿宋" w:hAnsi="华文仿宋" w:eastAsia="华文仿宋" w:cs="华文仿宋"/>
          <w:lang w:val="en-US" w:eastAsia="zh-CN"/>
        </w:rPr>
        <w:t>或</w:t>
      </w:r>
      <w:r>
        <w:rPr>
          <w:rFonts w:hint="eastAsia" w:ascii="华文仿宋" w:hAnsi="华文仿宋" w:eastAsia="华文仿宋" w:cs="华文仿宋"/>
          <w:highlight w:val="none"/>
          <w:lang w:val="en-US" w:eastAsia="zh-CN"/>
        </w:rPr>
        <w:t>无偿独占</w:t>
      </w:r>
      <w:r>
        <w:rPr>
          <w:rFonts w:hint="eastAsia" w:ascii="华文仿宋" w:hAnsi="华文仿宋" w:eastAsia="华文仿宋" w:cs="华文仿宋"/>
        </w:rPr>
        <w:t>许可蒙昆公司</w:t>
      </w:r>
      <w:r>
        <w:rPr>
          <w:rFonts w:hint="eastAsia" w:ascii="华文仿宋" w:hAnsi="华文仿宋" w:eastAsia="华文仿宋" w:cs="华文仿宋"/>
          <w:lang w:val="en-US" w:eastAsia="zh-CN"/>
        </w:rPr>
        <w:t>或其</w:t>
      </w:r>
      <w:r>
        <w:rPr>
          <w:rFonts w:hint="eastAsia" w:ascii="华文仿宋" w:hAnsi="华文仿宋" w:eastAsia="华文仿宋" w:cs="华文仿宋"/>
        </w:rPr>
        <w:t>指定供应商使用</w:t>
      </w:r>
      <w:r>
        <w:rPr>
          <w:rFonts w:hint="eastAsia" w:ascii="华文仿宋" w:hAnsi="华文仿宋" w:eastAsia="华文仿宋" w:cs="华文仿宋"/>
          <w:lang w:eastAsia="zh-CN"/>
        </w:rPr>
        <w:t>，许可期限为永久，且不可撤销，</w:t>
      </w:r>
      <w:r>
        <w:rPr>
          <w:rFonts w:hint="eastAsia" w:ascii="华文仿宋" w:hAnsi="华文仿宋" w:eastAsia="华文仿宋" w:cs="华文仿宋"/>
        </w:rPr>
        <w:t>用于产品的生产加工</w:t>
      </w:r>
      <w:r>
        <w:rPr>
          <w:rFonts w:hint="eastAsia" w:ascii="华文仿宋" w:hAnsi="华文仿宋" w:eastAsia="华文仿宋" w:cs="华文仿宋"/>
          <w:spacing w:val="0"/>
          <w:w w:val="100"/>
          <w:kern w:val="2"/>
        </w:rPr>
        <w:t>、市场营销等一切商业用途</w:t>
      </w:r>
      <w:r>
        <w:rPr>
          <w:rFonts w:hint="eastAsia" w:ascii="华文仿宋" w:hAnsi="华文仿宋" w:eastAsia="华文仿宋" w:cs="华文仿宋"/>
        </w:rPr>
        <w:t>。</w:t>
      </w:r>
    </w:p>
    <w:p w14:paraId="710DF246">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4、应征方保证其交付给蒙昆公司的成果不侵犯任何第三</w:t>
      </w:r>
      <w:r>
        <w:rPr>
          <w:rFonts w:hint="eastAsia" w:ascii="华文仿宋" w:hAnsi="华文仿宋" w:eastAsia="华文仿宋" w:cs="华文仿宋"/>
          <w:lang w:val="en-US" w:eastAsia="zh-CN"/>
        </w:rPr>
        <w:t>方的知识产权或其他</w:t>
      </w:r>
      <w:r>
        <w:rPr>
          <w:rFonts w:hint="eastAsia" w:ascii="华文仿宋" w:hAnsi="华文仿宋" w:eastAsia="华文仿宋" w:cs="华文仿宋"/>
        </w:rPr>
        <w:t>合法权益。如发生第三</w:t>
      </w:r>
      <w:r>
        <w:rPr>
          <w:rFonts w:hint="eastAsia" w:ascii="华文仿宋" w:hAnsi="华文仿宋" w:eastAsia="华文仿宋" w:cs="华文仿宋"/>
          <w:lang w:val="en-US" w:eastAsia="zh-CN"/>
        </w:rPr>
        <w:t>方</w:t>
      </w:r>
      <w:r>
        <w:rPr>
          <w:rFonts w:hint="eastAsia" w:ascii="华文仿宋" w:hAnsi="华文仿宋" w:eastAsia="华文仿宋" w:cs="华文仿宋"/>
        </w:rPr>
        <w:t>提出侵权指控的（包括但不限于联系函、律师函、起诉状</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仲裁申请</w:t>
      </w:r>
      <w:r>
        <w:rPr>
          <w:rFonts w:hint="eastAsia" w:ascii="华文仿宋" w:hAnsi="华文仿宋" w:eastAsia="华文仿宋" w:cs="华文仿宋"/>
        </w:rPr>
        <w:t>等），</w:t>
      </w:r>
      <w:r>
        <w:rPr>
          <w:rFonts w:hint="eastAsia" w:ascii="华文仿宋" w:hAnsi="华文仿宋" w:eastAsia="华文仿宋" w:cs="华文仿宋"/>
          <w:lang w:val="en-US" w:eastAsia="zh-CN"/>
        </w:rPr>
        <w:t>应征方将自行处理解决并承担可能发生的一切法律责任、费用和经济赔偿。如蒙昆公司因此涉诉或被索赔的，应征方除承担前述责任外，蒙昆公司有权向应征方全部追偿，并要求应征方承担蒙昆公司全部直接和间接损失（包括但不限于律师费、诉讼费、交通食宿费等）。</w:t>
      </w:r>
    </w:p>
    <w:p w14:paraId="3AEE6D11">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5、应征方提交的</w:t>
      </w:r>
      <w:r>
        <w:rPr>
          <w:rFonts w:hint="eastAsia" w:ascii="华文仿宋" w:hAnsi="华文仿宋" w:eastAsia="华文仿宋" w:cs="华文仿宋"/>
          <w:lang w:val="en-US" w:eastAsia="zh-CN"/>
        </w:rPr>
        <w:t>应征</w:t>
      </w:r>
      <w:r>
        <w:rPr>
          <w:rFonts w:hint="eastAsia" w:ascii="华文仿宋" w:hAnsi="华文仿宋" w:eastAsia="华文仿宋" w:cs="华文仿宋"/>
        </w:rPr>
        <w:t>作品无论是否入选，应征方不得在任何时候以任何方式向蒙昆公司</w:t>
      </w:r>
      <w:r>
        <w:rPr>
          <w:rFonts w:hint="eastAsia" w:ascii="华文仿宋" w:hAnsi="华文仿宋" w:eastAsia="华文仿宋" w:cs="华文仿宋"/>
          <w:lang w:val="en-US" w:eastAsia="zh-CN"/>
        </w:rPr>
        <w:t>或其指定使用人</w:t>
      </w:r>
      <w:r>
        <w:rPr>
          <w:rFonts w:hint="eastAsia" w:ascii="华文仿宋" w:hAnsi="华文仿宋" w:eastAsia="华文仿宋" w:cs="华文仿宋"/>
        </w:rPr>
        <w:t>要求支付报酬、费用或主张其他权益。</w:t>
      </w:r>
    </w:p>
    <w:p w14:paraId="3FA7471A">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二、保密义务</w:t>
      </w:r>
    </w:p>
    <w:p w14:paraId="55DC7891">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1、本承诺书涉及的保密信息是指征集过程中应征方获得或收到的蒙昆公司商务、财务、技术、产品的信息、资料或其他蒙昆公司未向社会公开的文件或信息，包括但不限于：</w:t>
      </w:r>
    </w:p>
    <w:p w14:paraId="281EA392">
      <w:pPr>
        <w:spacing w:line="480" w:lineRule="exact"/>
        <w:ind w:firstLine="560" w:firstLineChars="200"/>
        <w:jc w:val="left"/>
        <w:rPr>
          <w:rFonts w:hint="eastAsia" w:ascii="华文仿宋" w:hAnsi="华文仿宋" w:eastAsia="华文仿宋" w:cs="华文仿宋"/>
        </w:rPr>
      </w:pPr>
      <w:r>
        <w:rPr>
          <w:rFonts w:hint="eastAsia" w:ascii="华文仿宋" w:hAnsi="华文仿宋" w:eastAsia="华文仿宋" w:cs="华文仿宋"/>
        </w:rPr>
        <w:t>（1）蒙昆公司设计需求、设计稿、及相关产品及征集信息；</w:t>
      </w:r>
    </w:p>
    <w:p w14:paraId="1EA6F6AB">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（2）征集过程中涉及的</w:t>
      </w:r>
      <w:r>
        <w:rPr>
          <w:rFonts w:hint="eastAsia" w:ascii="华文仿宋" w:hAnsi="华文仿宋" w:eastAsia="华文仿宋" w:cs="华文仿宋"/>
          <w:highlight w:val="none"/>
        </w:rPr>
        <w:t>技术信息（包括但不限于配方、工艺流程、实验数据、参数标准）</w:t>
      </w:r>
      <w:r>
        <w:rPr>
          <w:rFonts w:hint="eastAsia" w:ascii="华文仿宋" w:hAnsi="华文仿宋" w:eastAsia="华文仿宋" w:cs="华文仿宋"/>
        </w:rPr>
        <w:t>和技术资料、及实施过程中产生的新技术信息和技术资料；</w:t>
      </w:r>
    </w:p>
    <w:p w14:paraId="6EA9E01E">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（3）征集过程中相关工作承担者之间往来的传真、信函、电子邮件等；</w:t>
      </w:r>
    </w:p>
    <w:p w14:paraId="15A46417">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（4）征集过程中任一阶段的</w:t>
      </w:r>
      <w:r>
        <w:rPr>
          <w:rFonts w:hint="eastAsia" w:ascii="华文仿宋" w:hAnsi="华文仿宋" w:eastAsia="华文仿宋" w:cs="华文仿宋"/>
          <w:lang w:val="en-US" w:eastAsia="zh-CN"/>
        </w:rPr>
        <w:t>设计</w:t>
      </w:r>
      <w:r>
        <w:rPr>
          <w:rFonts w:hint="eastAsia" w:ascii="华文仿宋" w:hAnsi="华文仿宋" w:eastAsia="华文仿宋" w:cs="华文仿宋"/>
        </w:rPr>
        <w:t>成果</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包括整体设计成果及其中各构成要素</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及</w:t>
      </w:r>
      <w:r>
        <w:rPr>
          <w:rFonts w:hint="eastAsia" w:ascii="华文仿宋" w:hAnsi="华文仿宋" w:eastAsia="华文仿宋" w:cs="华文仿宋"/>
        </w:rPr>
        <w:t>技术信息</w:t>
      </w:r>
      <w:r>
        <w:rPr>
          <w:rFonts w:hint="eastAsia" w:ascii="华文仿宋" w:hAnsi="华文仿宋" w:eastAsia="华文仿宋" w:cs="华文仿宋"/>
          <w:lang w:eastAsia="zh-CN"/>
        </w:rPr>
        <w:t>（</w:t>
      </w:r>
      <w:r>
        <w:rPr>
          <w:rFonts w:hint="eastAsia" w:ascii="华文仿宋" w:hAnsi="华文仿宋" w:eastAsia="华文仿宋" w:cs="华文仿宋"/>
          <w:lang w:val="en-US" w:eastAsia="zh-CN"/>
        </w:rPr>
        <w:t>包括设计方案、名称概念等</w:t>
      </w:r>
      <w:r>
        <w:rPr>
          <w:rFonts w:hint="eastAsia" w:ascii="华文仿宋" w:hAnsi="华文仿宋" w:eastAsia="华文仿宋" w:cs="华文仿宋"/>
          <w:lang w:eastAsia="zh-CN"/>
        </w:rPr>
        <w:t>）</w:t>
      </w:r>
      <w:r>
        <w:rPr>
          <w:rFonts w:hint="eastAsia" w:ascii="华文仿宋" w:hAnsi="华文仿宋" w:eastAsia="华文仿宋" w:cs="华文仿宋"/>
        </w:rPr>
        <w:t>；</w:t>
      </w:r>
    </w:p>
    <w:p w14:paraId="78E0C71C">
      <w:pPr>
        <w:spacing w:line="480" w:lineRule="exact"/>
        <w:ind w:left="560" w:leftChars="200"/>
        <w:jc w:val="left"/>
        <w:rPr>
          <w:rFonts w:hint="eastAsia" w:ascii="华文仿宋" w:hAnsi="华文仿宋" w:eastAsia="华文仿宋" w:cs="华文仿宋"/>
        </w:rPr>
      </w:pPr>
      <w:r>
        <w:rPr>
          <w:rFonts w:hint="eastAsia" w:ascii="华文仿宋" w:hAnsi="华文仿宋" w:eastAsia="华文仿宋" w:cs="华文仿宋"/>
        </w:rPr>
        <w:t>（5）征集的相关工作实施过程中确认的需要保密的其他信息。</w:t>
      </w:r>
    </w:p>
    <w:p w14:paraId="00CEC888">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2、应征方应对所有保密信息进行妥善管理，并采取保密措施，未经蒙昆公司同意，不得自行使用，也不得向任何第三方披露或者许可使用。</w:t>
      </w:r>
    </w:p>
    <w:p w14:paraId="4C9ABDDE">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3、保密义务同样适用于应征方工作人员及关联企业、关联人员</w:t>
      </w:r>
      <w:r>
        <w:rPr>
          <w:rFonts w:hint="eastAsia" w:ascii="华文仿宋" w:hAnsi="华文仿宋" w:eastAsia="华文仿宋" w:cs="华文仿宋"/>
          <w:lang w:val="en-US" w:eastAsia="zh-CN"/>
        </w:rPr>
        <w:t>以及</w:t>
      </w:r>
      <w:r>
        <w:rPr>
          <w:rFonts w:hint="eastAsia" w:ascii="华文仿宋" w:hAnsi="华文仿宋" w:eastAsia="华文仿宋" w:cs="华文仿宋"/>
          <w:highlight w:val="none"/>
          <w:lang w:val="en-US" w:eastAsia="zh-CN"/>
        </w:rPr>
        <w:t>应征方引入的供应商</w:t>
      </w:r>
      <w:r>
        <w:rPr>
          <w:rFonts w:hint="eastAsia" w:ascii="华文仿宋" w:hAnsi="华文仿宋" w:eastAsia="华文仿宋" w:cs="华文仿宋"/>
        </w:rPr>
        <w:t>等。以上所述应征方关联企业、关联人员，包括应征方股东、接触征集信息内容的工作人员/其他人员、分支机构、子公司，以及与应征方或应征方股东具有投资或被投资关系的企业及其他组织、与应征方股东具有亲友或相识关系的他人及其投资或实际控制的企业及其他组织等。</w:t>
      </w:r>
    </w:p>
    <w:p w14:paraId="153424A7">
      <w:pPr>
        <w:spacing w:line="480" w:lineRule="exact"/>
        <w:ind w:left="0" w:leftChars="0" w:firstLine="560" w:firstLineChars="200"/>
        <w:jc w:val="left"/>
        <w:rPr>
          <w:rFonts w:hint="eastAsia" w:ascii="华文仿宋" w:hAnsi="华文仿宋" w:eastAsia="华文仿宋" w:cs="华文仿宋"/>
        </w:rPr>
      </w:pPr>
      <w:r>
        <w:rPr>
          <w:rFonts w:hint="eastAsia" w:ascii="华文仿宋" w:hAnsi="华文仿宋" w:eastAsia="华文仿宋" w:cs="华文仿宋"/>
        </w:rPr>
        <w:t>4、本承诺具有独立性，应征方的保密义务不因征集工作的解除、撤销、无效或终止而终止，</w:t>
      </w:r>
      <w:r>
        <w:rPr>
          <w:rFonts w:hint="eastAsia" w:ascii="仿宋" w:hAnsi="仿宋" w:eastAsia="仿宋" w:cs="仿宋"/>
          <w:color w:val="000000"/>
          <w:spacing w:val="-11"/>
          <w:w w:val="99"/>
        </w:rPr>
        <w:t>也不因应征方是否中选而免除或有所区别</w:t>
      </w:r>
      <w:r>
        <w:rPr>
          <w:rFonts w:hint="eastAsia" w:ascii="华文仿宋" w:hAnsi="华文仿宋" w:eastAsia="华文仿宋" w:cs="华文仿宋"/>
        </w:rPr>
        <w:t>。</w:t>
      </w:r>
    </w:p>
    <w:p w14:paraId="0AB24BA5">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三、违约责任</w:t>
      </w:r>
    </w:p>
    <w:p w14:paraId="7AC93ED2">
      <w:pPr>
        <w:spacing w:line="480" w:lineRule="exact"/>
        <w:ind w:firstLine="560"/>
        <w:jc w:val="left"/>
        <w:rPr>
          <w:rFonts w:hint="eastAsia" w:ascii="华文仿宋" w:hAnsi="华文仿宋" w:eastAsia="华文仿宋" w:cs="华文仿宋"/>
        </w:rPr>
      </w:pPr>
      <w:r>
        <w:rPr>
          <w:rFonts w:hint="eastAsia" w:ascii="华文仿宋" w:hAnsi="华文仿宋" w:eastAsia="华文仿宋" w:cs="华文仿宋"/>
        </w:rPr>
        <w:t>应征方应严格遵守以上承诺，如有违反向蒙昆公司承担</w:t>
      </w:r>
      <w:r>
        <w:rPr>
          <w:rFonts w:hint="eastAsia" w:ascii="华文仿宋" w:hAnsi="华文仿宋" w:eastAsia="华文仿宋" w:cs="华文仿宋"/>
          <w:highlight w:val="none"/>
        </w:rPr>
        <w:t>伍万元</w:t>
      </w:r>
      <w:r>
        <w:rPr>
          <w:rFonts w:hint="eastAsia" w:ascii="华文仿宋" w:hAnsi="华文仿宋" w:eastAsia="华文仿宋" w:cs="华文仿宋"/>
        </w:rPr>
        <w:t>违约金，还将赔偿蒙昆公司所有直接</w:t>
      </w:r>
      <w:r>
        <w:rPr>
          <w:rFonts w:hint="eastAsia" w:ascii="华文仿宋" w:hAnsi="华文仿宋" w:eastAsia="华文仿宋" w:cs="华文仿宋"/>
          <w:lang w:val="en-US" w:eastAsia="zh-CN"/>
        </w:rPr>
        <w:t>和</w:t>
      </w:r>
      <w:r>
        <w:rPr>
          <w:rFonts w:hint="eastAsia" w:ascii="华文仿宋" w:hAnsi="华文仿宋" w:eastAsia="华文仿宋" w:cs="华文仿宋"/>
        </w:rPr>
        <w:t>间接损失，包括因维权支出的合理费用。</w:t>
      </w:r>
    </w:p>
    <w:p w14:paraId="612A9B7E">
      <w:pPr>
        <w:spacing w:line="480" w:lineRule="exact"/>
        <w:ind w:firstLine="562" w:firstLineChars="200"/>
        <w:jc w:val="left"/>
        <w:rPr>
          <w:rFonts w:hint="eastAsia" w:ascii="华文仿宋" w:hAnsi="华文仿宋" w:eastAsia="华文仿宋" w:cs="华文仿宋"/>
          <w:b/>
          <w:bCs w:val="0"/>
        </w:rPr>
      </w:pPr>
      <w:r>
        <w:rPr>
          <w:rFonts w:hint="eastAsia" w:ascii="华文仿宋" w:hAnsi="华文仿宋" w:eastAsia="华文仿宋" w:cs="华文仿宋"/>
          <w:b/>
          <w:bCs w:val="0"/>
        </w:rPr>
        <w:t>四、其他</w:t>
      </w:r>
    </w:p>
    <w:p w14:paraId="4AE56738">
      <w:pPr>
        <w:spacing w:line="480" w:lineRule="exact"/>
        <w:ind w:firstLine="560"/>
        <w:jc w:val="left"/>
        <w:rPr>
          <w:rFonts w:hint="eastAsia" w:ascii="华文仿宋" w:hAnsi="华文仿宋" w:eastAsia="华文仿宋" w:cs="华文仿宋"/>
        </w:rPr>
      </w:pPr>
      <w:r>
        <w:rPr>
          <w:rFonts w:hint="eastAsia" w:ascii="华文仿宋" w:hAnsi="华文仿宋" w:eastAsia="华文仿宋" w:cs="华文仿宋"/>
        </w:rPr>
        <w:t>内蒙古昆明卷烟有限责任公司保留对本承诺书最终解释权。任何与设计、打样征集有关的未尽事宜，均由内蒙古昆明卷烟有限责任公司进一步制定相应规定并进行解释，</w:t>
      </w:r>
      <w:r>
        <w:rPr>
          <w:rFonts w:hint="eastAsia" w:ascii="仿宋" w:hAnsi="仿宋" w:eastAsia="仿宋" w:cs="仿宋"/>
          <w:color w:val="000000"/>
          <w:spacing w:val="-11"/>
          <w:w w:val="99"/>
        </w:rPr>
        <w:t>应征方接受并承诺遵守</w:t>
      </w:r>
      <w:r>
        <w:rPr>
          <w:rFonts w:hint="eastAsia" w:ascii="华文仿宋" w:hAnsi="华文仿宋" w:eastAsia="华文仿宋" w:cs="华文仿宋"/>
        </w:rPr>
        <w:t>。</w:t>
      </w:r>
    </w:p>
    <w:p w14:paraId="058FD091">
      <w:pPr>
        <w:wordWrap w:val="0"/>
        <w:jc w:val="right"/>
        <w:rPr>
          <w:rFonts w:hint="eastAsia" w:ascii="华文仿宋" w:hAnsi="华文仿宋" w:eastAsia="华文仿宋" w:cs="华文仿宋"/>
        </w:rPr>
      </w:pPr>
    </w:p>
    <w:p w14:paraId="787192CD">
      <w:pPr>
        <w:pStyle w:val="2"/>
        <w:wordWrap/>
        <w:rPr>
          <w:rFonts w:hint="eastAsia" w:ascii="华文仿宋" w:hAnsi="华文仿宋" w:eastAsia="华文仿宋" w:cs="华文仿宋"/>
        </w:rPr>
      </w:pPr>
    </w:p>
    <w:p w14:paraId="387BCD95">
      <w:pPr>
        <w:pStyle w:val="2"/>
        <w:wordWrap/>
        <w:rPr>
          <w:rFonts w:hint="eastAsia" w:ascii="华文仿宋" w:hAnsi="华文仿宋" w:eastAsia="华文仿宋" w:cs="华文仿宋"/>
        </w:rPr>
      </w:pPr>
    </w:p>
    <w:p w14:paraId="696D4A01">
      <w:pPr>
        <w:wordWrap w:val="0"/>
        <w:ind w:left="1680" w:leftChars="600"/>
        <w:jc w:val="left"/>
        <w:rPr>
          <w:rFonts w:hint="eastAsia" w:ascii="华文仿宋" w:hAnsi="华文仿宋" w:eastAsia="华文仿宋" w:cs="华文仿宋"/>
        </w:rPr>
      </w:pPr>
      <w:r>
        <w:rPr>
          <w:rFonts w:hint="eastAsia" w:ascii="华文仿宋" w:hAnsi="华文仿宋" w:eastAsia="华文仿宋" w:cs="华文仿宋"/>
        </w:rPr>
        <w:t>应征方名称（盖章）：</w:t>
      </w:r>
    </w:p>
    <w:p w14:paraId="74DE9624">
      <w:pPr>
        <w:ind w:left="1680" w:leftChars="600"/>
        <w:jc w:val="left"/>
        <w:rPr>
          <w:rFonts w:hint="eastAsia" w:ascii="华文仿宋" w:hAnsi="华文仿宋" w:eastAsia="华文仿宋" w:cs="华文仿宋"/>
        </w:rPr>
      </w:pPr>
      <w:r>
        <w:rPr>
          <w:rFonts w:hint="eastAsia" w:ascii="华文仿宋" w:hAnsi="华文仿宋" w:eastAsia="华文仿宋" w:cs="华文仿宋"/>
        </w:rPr>
        <w:t xml:space="preserve">法定代表人/负责人或委托代理人（签字或盖章）：     </w:t>
      </w:r>
    </w:p>
    <w:p w14:paraId="67C890B1">
      <w:pPr>
        <w:ind w:left="1680" w:leftChars="600"/>
        <w:jc w:val="left"/>
        <w:rPr>
          <w:rFonts w:hint="default" w:ascii="华文仿宋" w:hAnsi="华文仿宋" w:eastAsia="华文仿宋" w:cs="华文仿宋"/>
          <w:b w:val="0"/>
          <w:bCs/>
          <w:sz w:val="28"/>
          <w:szCs w:val="28"/>
          <w:highlight w:val="none"/>
          <w:lang w:val="en-US" w:eastAsia="zh-CN"/>
        </w:rPr>
      </w:pPr>
      <w:r>
        <w:rPr>
          <w:rFonts w:hint="eastAsia" w:ascii="华文仿宋" w:hAnsi="华文仿宋" w:eastAsia="华文仿宋" w:cs="华文仿宋"/>
        </w:rPr>
        <w:t xml:space="preserve">日  期：      年    </w:t>
      </w:r>
      <w:r>
        <w:rPr>
          <w:rFonts w:hint="eastAsia" w:eastAsia="CESI仿宋-GB2312"/>
        </w:rPr>
        <w:t>月    日</w:t>
      </w:r>
      <w:bookmarkStart w:id="0" w:name="_GoBack"/>
      <w:bookmarkEnd w:id="0"/>
      <w:r>
        <w:rPr>
          <w:rFonts w:hint="eastAsia" w:ascii="华文仿宋" w:hAnsi="华文仿宋" w:eastAsia="华文仿宋" w:cs="华文仿宋"/>
          <w:b w:val="0"/>
          <w:bCs/>
          <w:sz w:val="28"/>
          <w:szCs w:val="28"/>
          <w:highlight w:val="none"/>
          <w:lang w:val="en-US" w:eastAsia="zh-CN"/>
        </w:rPr>
        <w:t xml:space="preserve"> </w:t>
      </w: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SI仿宋-GB2312">
    <w:altName w:val="仿宋"/>
    <w:panose1 w:val="02000500000000000000"/>
    <w:charset w:val="86"/>
    <w:family w:val="auto"/>
    <w:pitch w:val="default"/>
    <w:sig w:usb0="800002AF" w:usb1="084F6CF8" w:usb2="00000010" w:usb3="00000000" w:csb0="0004000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2000000000000000000"/>
    <w:charset w:val="86"/>
    <w:family w:val="auto"/>
    <w:pitch w:val="default"/>
    <w:sig w:usb0="00000001" w:usb1="08000000" w:usb2="00000000" w:usb3="00000000" w:csb0="00040000" w:csb1="00000000"/>
  </w:font>
  <w:font w:name="华文仿宋">
    <w:altName w:val="仿宋"/>
    <w:panose1 w:val="02010600040101010101"/>
    <w:charset w:val="86"/>
    <w:family w:val="auto"/>
    <w:pitch w:val="default"/>
    <w:sig w:usb0="00000287" w:usb1="080F0000" w:usb2="00000000" w:usb3="00000000" w:csb0="0004009F" w:csb1="DFD7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96F3AF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11D41605">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10G3Y3AgAAbw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QxQHSzMMBESn3p0Qrtvh34&#10;7E1xBk1n+jnxlm9qlLJlPjwwh8FA+Xg64R5LKQ1SmsGipDLuy7/OYzz6BS8lDQYtpxrvihL5XqOP&#10;AAyj4UZjPxr6qO4MJhe9QS2diQsuyNEsnVGf8Z5WMQdcTHNkymkYzbvQDzveIxerVRd0tK4+VP0F&#10;TKFlYat3lsc0USpvV8cAaTvFo0C9KuhU3GAOu54NbyYO+p/7LurxP7H8DV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LNJWO7QAAAABQEAAA8AAAAAAAAAAQAgAAAAIgAAAGRycy9kb3ducmV2LnhtbFBL&#10;AQIUABQAAAAIAIdO4kC9dBt2NwIAAG8EAAAOAAAAAAAAAAEAIAAAAB8BAABkcnMvZTJvRG9jLnht&#10;bFBLBQYAAAAABgAGAFkBAADIBQAAAAA=&#10;">
              <v:fill on="f" focussize="0,0"/>
              <v:stroke on="f" weight="0.5pt"/>
              <v:imagedata o:title=""/>
              <o:lock v:ext="edit" aspectratio="f"/>
              <v:textbox inset="0mm,0mm,0mm,0mm" style="mso-fit-shape-to-text:t;">
                <w:txbxContent>
                  <w:p w14:paraId="11D41605">
                    <w:pPr>
                      <w:pStyle w:val="6"/>
                      <w:rPr>
                        <w:rFonts w:hint="eastAsia" w:ascii="CESI仿宋-GB2312" w:hAnsi="CESI仿宋-GB2312" w:eastAsia="CESI仿宋-GB2312" w:cs="CESI仿宋-GB2312"/>
                      </w:rPr>
                    </w:pPr>
                    <w:r>
                      <w:rPr>
                        <w:rFonts w:hint="eastAsia" w:ascii="CESI仿宋-GB2312" w:hAnsi="CESI仿宋-GB2312" w:eastAsia="CESI仿宋-GB2312" w:cs="CESI仿宋-GB2312"/>
                      </w:rPr>
                      <w:t xml:space="preserve">第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PAGE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 共 </w:t>
                    </w:r>
                    <w:r>
                      <w:rPr>
                        <w:rFonts w:hint="eastAsia" w:ascii="CESI仿宋-GB2312" w:hAnsi="CESI仿宋-GB2312" w:eastAsia="CESI仿宋-GB2312" w:cs="CESI仿宋-GB2312"/>
                      </w:rPr>
                      <w:fldChar w:fldCharType="begin"/>
                    </w:r>
                    <w:r>
                      <w:rPr>
                        <w:rFonts w:hint="eastAsia" w:ascii="CESI仿宋-GB2312" w:hAnsi="CESI仿宋-GB2312" w:eastAsia="CESI仿宋-GB2312" w:cs="CESI仿宋-GB2312"/>
                      </w:rPr>
                      <w:instrText xml:space="preserve"> NUMPAGES  \* MERGEFORMAT </w:instrText>
                    </w:r>
                    <w:r>
                      <w:rPr>
                        <w:rFonts w:hint="eastAsia" w:ascii="CESI仿宋-GB2312" w:hAnsi="CESI仿宋-GB2312" w:eastAsia="CESI仿宋-GB2312" w:cs="CESI仿宋-GB2312"/>
                      </w:rPr>
                      <w:fldChar w:fldCharType="separate"/>
                    </w:r>
                    <w:r>
                      <w:rPr>
                        <w:rFonts w:hint="eastAsia" w:ascii="CESI仿宋-GB2312" w:hAnsi="CESI仿宋-GB2312" w:eastAsia="CESI仿宋-GB2312" w:cs="CESI仿宋-GB2312"/>
                      </w:rPr>
                      <w:t>16</w:t>
                    </w:r>
                    <w:r>
                      <w:rPr>
                        <w:rFonts w:hint="eastAsia" w:ascii="CESI仿宋-GB2312" w:hAnsi="CESI仿宋-GB2312" w:eastAsia="CESI仿宋-GB2312" w:cs="CESI仿宋-GB2312"/>
                      </w:rPr>
                      <w:fldChar w:fldCharType="end"/>
                    </w:r>
                    <w:r>
                      <w:rPr>
                        <w:rFonts w:hint="eastAsia" w:ascii="CESI仿宋-GB2312" w:hAnsi="CESI仿宋-GB2312" w:eastAsia="CESI仿宋-GB2312" w:cs="CESI仿宋-GB2312"/>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0B55DC2"/>
    <w:multiLevelType w:val="multilevel"/>
    <w:tmpl w:val="60B55DC2"/>
    <w:lvl w:ilvl="0" w:tentative="0">
      <w:start w:val="4"/>
      <w:numFmt w:val="upperLetter"/>
      <w:lvlText w:val="%1"/>
      <w:lvlJc w:val="left"/>
      <w:pPr>
        <w:tabs>
          <w:tab w:val="left" w:pos="0"/>
        </w:tabs>
        <w:ind w:left="0" w:hanging="425"/>
      </w:pPr>
      <w:rPr>
        <w:rFonts w:hint="eastAsia"/>
      </w:rPr>
    </w:lvl>
    <w:lvl w:ilvl="1" w:tentative="0">
      <w:start w:val="1"/>
      <w:numFmt w:val="decimal"/>
      <w:pStyle w:val="19"/>
      <w:suff w:val="nothing"/>
      <w:lvlText w:val="表%1.%2　"/>
      <w:lvlJc w:val="center"/>
      <w:pPr>
        <w:ind w:left="3150" w:firstLine="0"/>
      </w:pPr>
      <w:rPr>
        <w:rFonts w:hint="eastAsia"/>
      </w:rPr>
    </w:lvl>
    <w:lvl w:ilvl="2" w:tentative="0">
      <w:start w:val="1"/>
      <w:numFmt w:val="decimal"/>
      <w:lvlText w:val="%1.%2.%3"/>
      <w:lvlJc w:val="left"/>
      <w:pPr>
        <w:tabs>
          <w:tab w:val="left" w:pos="993"/>
        </w:tabs>
        <w:ind w:left="993" w:hanging="567"/>
      </w:pPr>
      <w:rPr>
        <w:rFonts w:hint="eastAsia"/>
      </w:rPr>
    </w:lvl>
    <w:lvl w:ilvl="3" w:tentative="0">
      <w:start w:val="1"/>
      <w:numFmt w:val="decimal"/>
      <w:lvlText w:val="%1.%2.%3.%4"/>
      <w:lvlJc w:val="left"/>
      <w:pPr>
        <w:tabs>
          <w:tab w:val="left" w:pos="2291"/>
        </w:tabs>
        <w:ind w:left="1559" w:hanging="708"/>
      </w:pPr>
      <w:rPr>
        <w:rFonts w:hint="eastAsia"/>
      </w:rPr>
    </w:lvl>
    <w:lvl w:ilvl="4" w:tentative="0">
      <w:start w:val="1"/>
      <w:numFmt w:val="decimal"/>
      <w:lvlText w:val="%1.%2.%3.%4.%5"/>
      <w:lvlJc w:val="left"/>
      <w:pPr>
        <w:tabs>
          <w:tab w:val="left" w:pos="3076"/>
        </w:tabs>
        <w:ind w:left="2126" w:hanging="850"/>
      </w:pPr>
      <w:rPr>
        <w:rFonts w:hint="eastAsia"/>
      </w:rPr>
    </w:lvl>
    <w:lvl w:ilvl="5" w:tentative="0">
      <w:start w:val="1"/>
      <w:numFmt w:val="decimal"/>
      <w:lvlText w:val="%1.%2.%3.%4.%5.%6"/>
      <w:lvlJc w:val="left"/>
      <w:pPr>
        <w:tabs>
          <w:tab w:val="left" w:pos="3861"/>
        </w:tabs>
        <w:ind w:left="2835" w:hanging="1134"/>
      </w:pPr>
      <w:rPr>
        <w:rFonts w:hint="eastAsia"/>
      </w:rPr>
    </w:lvl>
    <w:lvl w:ilvl="6" w:tentative="0">
      <w:start w:val="1"/>
      <w:numFmt w:val="decimal"/>
      <w:lvlText w:val="%1.%2.%3.%4.%5.%6.%7"/>
      <w:lvlJc w:val="left"/>
      <w:pPr>
        <w:tabs>
          <w:tab w:val="left" w:pos="4646"/>
        </w:tabs>
        <w:ind w:left="3402" w:hanging="1276"/>
      </w:pPr>
      <w:rPr>
        <w:rFonts w:hint="eastAsia"/>
      </w:rPr>
    </w:lvl>
    <w:lvl w:ilvl="7" w:tentative="0">
      <w:start w:val="1"/>
      <w:numFmt w:val="decimal"/>
      <w:lvlText w:val="%1.%2.%3.%4.%5.%6.%7.%8"/>
      <w:lvlJc w:val="left"/>
      <w:pPr>
        <w:tabs>
          <w:tab w:val="left" w:pos="5431"/>
        </w:tabs>
        <w:ind w:left="3969" w:hanging="1418"/>
      </w:pPr>
      <w:rPr>
        <w:rFonts w:hint="eastAsia"/>
      </w:rPr>
    </w:lvl>
    <w:lvl w:ilvl="8" w:tentative="0">
      <w:start w:val="1"/>
      <w:numFmt w:val="decimal"/>
      <w:lvlText w:val="%1.%2.%3.%4.%5.%6.%7.%8.%9"/>
      <w:lvlJc w:val="left"/>
      <w:pPr>
        <w:tabs>
          <w:tab w:val="left" w:pos="6217"/>
        </w:tabs>
        <w:ind w:left="4677" w:hanging="170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IxNGNhZTk1ODhkYzM4NjFiODliN2RiNGM2ZjM5NzQifQ=="/>
  </w:docVars>
  <w:rsids>
    <w:rsidRoot w:val="00F71F58"/>
    <w:rsid w:val="000049FA"/>
    <w:rsid w:val="000370BC"/>
    <w:rsid w:val="00062B43"/>
    <w:rsid w:val="00064201"/>
    <w:rsid w:val="00071C5F"/>
    <w:rsid w:val="000A5760"/>
    <w:rsid w:val="000C6AC1"/>
    <w:rsid w:val="000D7441"/>
    <w:rsid w:val="000E52C1"/>
    <w:rsid w:val="000F570B"/>
    <w:rsid w:val="00136E49"/>
    <w:rsid w:val="00183210"/>
    <w:rsid w:val="001E08DA"/>
    <w:rsid w:val="002447C9"/>
    <w:rsid w:val="00255E33"/>
    <w:rsid w:val="002560AB"/>
    <w:rsid w:val="002813B2"/>
    <w:rsid w:val="00287840"/>
    <w:rsid w:val="002B43D1"/>
    <w:rsid w:val="002B4EA1"/>
    <w:rsid w:val="002C34BD"/>
    <w:rsid w:val="002C48E3"/>
    <w:rsid w:val="002E134C"/>
    <w:rsid w:val="002F6C93"/>
    <w:rsid w:val="00335DD7"/>
    <w:rsid w:val="003957B7"/>
    <w:rsid w:val="003B1B6F"/>
    <w:rsid w:val="003D4205"/>
    <w:rsid w:val="00405EC8"/>
    <w:rsid w:val="00435088"/>
    <w:rsid w:val="0049608F"/>
    <w:rsid w:val="00497DF1"/>
    <w:rsid w:val="0054711B"/>
    <w:rsid w:val="005815BD"/>
    <w:rsid w:val="0058257E"/>
    <w:rsid w:val="005B18D7"/>
    <w:rsid w:val="005C6CFF"/>
    <w:rsid w:val="00600385"/>
    <w:rsid w:val="006367C5"/>
    <w:rsid w:val="00641726"/>
    <w:rsid w:val="006520A3"/>
    <w:rsid w:val="0067716F"/>
    <w:rsid w:val="00696A67"/>
    <w:rsid w:val="006A6F2A"/>
    <w:rsid w:val="00721AD0"/>
    <w:rsid w:val="00726B5D"/>
    <w:rsid w:val="007505E5"/>
    <w:rsid w:val="00775457"/>
    <w:rsid w:val="00776299"/>
    <w:rsid w:val="007931E3"/>
    <w:rsid w:val="007B6638"/>
    <w:rsid w:val="007C090A"/>
    <w:rsid w:val="007F0FA8"/>
    <w:rsid w:val="00816A06"/>
    <w:rsid w:val="00840E14"/>
    <w:rsid w:val="00850AB7"/>
    <w:rsid w:val="008528EA"/>
    <w:rsid w:val="008611E4"/>
    <w:rsid w:val="008873D1"/>
    <w:rsid w:val="008A1EFC"/>
    <w:rsid w:val="008F03B9"/>
    <w:rsid w:val="008F52E5"/>
    <w:rsid w:val="009361D4"/>
    <w:rsid w:val="0095041F"/>
    <w:rsid w:val="0095305B"/>
    <w:rsid w:val="00976D5F"/>
    <w:rsid w:val="009A52A0"/>
    <w:rsid w:val="009E5A83"/>
    <w:rsid w:val="00A064E0"/>
    <w:rsid w:val="00A07B0B"/>
    <w:rsid w:val="00A12C9A"/>
    <w:rsid w:val="00A5148F"/>
    <w:rsid w:val="00A61FF0"/>
    <w:rsid w:val="00A82AAE"/>
    <w:rsid w:val="00AD0F7E"/>
    <w:rsid w:val="00AD44FC"/>
    <w:rsid w:val="00AD5C7E"/>
    <w:rsid w:val="00AF2FEB"/>
    <w:rsid w:val="00B05BB0"/>
    <w:rsid w:val="00BF52CE"/>
    <w:rsid w:val="00C515E8"/>
    <w:rsid w:val="00C618C4"/>
    <w:rsid w:val="00C6243D"/>
    <w:rsid w:val="00C74661"/>
    <w:rsid w:val="00C94E84"/>
    <w:rsid w:val="00CD5466"/>
    <w:rsid w:val="00CE38E2"/>
    <w:rsid w:val="00CE63EC"/>
    <w:rsid w:val="00D30150"/>
    <w:rsid w:val="00D43E8C"/>
    <w:rsid w:val="00D9633C"/>
    <w:rsid w:val="00DA0A70"/>
    <w:rsid w:val="00DA365B"/>
    <w:rsid w:val="00DE34E2"/>
    <w:rsid w:val="00E42EA9"/>
    <w:rsid w:val="00E44A4A"/>
    <w:rsid w:val="00E61E0A"/>
    <w:rsid w:val="00EA5AB4"/>
    <w:rsid w:val="00EC3101"/>
    <w:rsid w:val="00ED31A3"/>
    <w:rsid w:val="00ED6A6E"/>
    <w:rsid w:val="00EE5A8C"/>
    <w:rsid w:val="00EF6CF3"/>
    <w:rsid w:val="00F00353"/>
    <w:rsid w:val="00F0418F"/>
    <w:rsid w:val="00F41C8A"/>
    <w:rsid w:val="00F439EA"/>
    <w:rsid w:val="00F71F58"/>
    <w:rsid w:val="00F8150C"/>
    <w:rsid w:val="00F8168D"/>
    <w:rsid w:val="00F90E1D"/>
    <w:rsid w:val="00F92147"/>
    <w:rsid w:val="00FC5C77"/>
    <w:rsid w:val="01133B9B"/>
    <w:rsid w:val="06123EBB"/>
    <w:rsid w:val="0CF7D9FC"/>
    <w:rsid w:val="0F4EA6A7"/>
    <w:rsid w:val="141D67E8"/>
    <w:rsid w:val="146420FC"/>
    <w:rsid w:val="157068FE"/>
    <w:rsid w:val="15D350EF"/>
    <w:rsid w:val="1BF511E5"/>
    <w:rsid w:val="1D333213"/>
    <w:rsid w:val="1DD76EA1"/>
    <w:rsid w:val="1EFF1D85"/>
    <w:rsid w:val="20B26D7D"/>
    <w:rsid w:val="23FF1005"/>
    <w:rsid w:val="28DA8DD7"/>
    <w:rsid w:val="2AFA72B8"/>
    <w:rsid w:val="2B217AD3"/>
    <w:rsid w:val="2D065C84"/>
    <w:rsid w:val="331533CF"/>
    <w:rsid w:val="3507410E"/>
    <w:rsid w:val="354A1C00"/>
    <w:rsid w:val="3613049B"/>
    <w:rsid w:val="36BF2638"/>
    <w:rsid w:val="3BFAB66E"/>
    <w:rsid w:val="3CB0B500"/>
    <w:rsid w:val="3E246A52"/>
    <w:rsid w:val="3EEF451E"/>
    <w:rsid w:val="3EF9DA0D"/>
    <w:rsid w:val="3FCB1002"/>
    <w:rsid w:val="3FFFD28C"/>
    <w:rsid w:val="40FF0B45"/>
    <w:rsid w:val="417849D7"/>
    <w:rsid w:val="419C517F"/>
    <w:rsid w:val="436915DD"/>
    <w:rsid w:val="46A64A59"/>
    <w:rsid w:val="46A8109F"/>
    <w:rsid w:val="49BA7BD2"/>
    <w:rsid w:val="4C094780"/>
    <w:rsid w:val="4DEF7DD9"/>
    <w:rsid w:val="4E195C09"/>
    <w:rsid w:val="4FBFB790"/>
    <w:rsid w:val="53276722"/>
    <w:rsid w:val="537D859B"/>
    <w:rsid w:val="537F75A7"/>
    <w:rsid w:val="567E8B02"/>
    <w:rsid w:val="57D45CF1"/>
    <w:rsid w:val="5BDB1A95"/>
    <w:rsid w:val="5CDF9BA8"/>
    <w:rsid w:val="5F8DF6C5"/>
    <w:rsid w:val="5FFC6943"/>
    <w:rsid w:val="692C53C1"/>
    <w:rsid w:val="699E6D77"/>
    <w:rsid w:val="6A941D62"/>
    <w:rsid w:val="6BDF3C59"/>
    <w:rsid w:val="6D03440E"/>
    <w:rsid w:val="6EBBC387"/>
    <w:rsid w:val="6F9F6DC1"/>
    <w:rsid w:val="6FFD7F74"/>
    <w:rsid w:val="6FFF66E7"/>
    <w:rsid w:val="6FFF6B03"/>
    <w:rsid w:val="71F15757"/>
    <w:rsid w:val="71FE04BF"/>
    <w:rsid w:val="725FB33E"/>
    <w:rsid w:val="756EC634"/>
    <w:rsid w:val="76E114C2"/>
    <w:rsid w:val="77ABBBE0"/>
    <w:rsid w:val="77FFCA2B"/>
    <w:rsid w:val="79BC2387"/>
    <w:rsid w:val="79F5BE03"/>
    <w:rsid w:val="7AFF0B92"/>
    <w:rsid w:val="7B1F93D6"/>
    <w:rsid w:val="7C5B0643"/>
    <w:rsid w:val="7C7212EA"/>
    <w:rsid w:val="7CEFACA0"/>
    <w:rsid w:val="7DDF00FA"/>
    <w:rsid w:val="7DFFBD8E"/>
    <w:rsid w:val="7E3BF6C3"/>
    <w:rsid w:val="7EB61D53"/>
    <w:rsid w:val="7EFFAAB6"/>
    <w:rsid w:val="7F7DB2C0"/>
    <w:rsid w:val="7FBDCD17"/>
    <w:rsid w:val="7FBF40F5"/>
    <w:rsid w:val="7FDE67A3"/>
    <w:rsid w:val="7FEA3035"/>
    <w:rsid w:val="7FEB77C3"/>
    <w:rsid w:val="7FFEEA69"/>
    <w:rsid w:val="7FFF0D7D"/>
    <w:rsid w:val="7FFF8FB2"/>
    <w:rsid w:val="8F2DC710"/>
    <w:rsid w:val="9E5B204B"/>
    <w:rsid w:val="9EC10E72"/>
    <w:rsid w:val="9FD736ED"/>
    <w:rsid w:val="A4B18DB8"/>
    <w:rsid w:val="AADBFE66"/>
    <w:rsid w:val="AB7FF99B"/>
    <w:rsid w:val="AEEF2971"/>
    <w:rsid w:val="B2F96CA5"/>
    <w:rsid w:val="B3DDAEE2"/>
    <w:rsid w:val="B58D07BC"/>
    <w:rsid w:val="B6F93AE5"/>
    <w:rsid w:val="BC7A22EB"/>
    <w:rsid w:val="BCBDEE16"/>
    <w:rsid w:val="BCDC07F2"/>
    <w:rsid w:val="BE53B4BB"/>
    <w:rsid w:val="BEBF72D8"/>
    <w:rsid w:val="BF5F0BFC"/>
    <w:rsid w:val="BF7BE786"/>
    <w:rsid w:val="BFC607EB"/>
    <w:rsid w:val="BFEF2C94"/>
    <w:rsid w:val="C6FDFE5F"/>
    <w:rsid w:val="CEE1E1C5"/>
    <w:rsid w:val="CFBE4ACB"/>
    <w:rsid w:val="D7FF2861"/>
    <w:rsid w:val="DDEF4181"/>
    <w:rsid w:val="DE55F94D"/>
    <w:rsid w:val="DFFF3A5F"/>
    <w:rsid w:val="E5DB60CF"/>
    <w:rsid w:val="E5FF1849"/>
    <w:rsid w:val="E6F91EB3"/>
    <w:rsid w:val="EAEF3EA7"/>
    <w:rsid w:val="ECEAB50D"/>
    <w:rsid w:val="EEFEDF89"/>
    <w:rsid w:val="EF53CCC5"/>
    <w:rsid w:val="EF7FEB4C"/>
    <w:rsid w:val="EFFB6F49"/>
    <w:rsid w:val="F6B49E07"/>
    <w:rsid w:val="F6BC5B66"/>
    <w:rsid w:val="F6FB3D64"/>
    <w:rsid w:val="F7D18895"/>
    <w:rsid w:val="FB3746B4"/>
    <w:rsid w:val="FB3D2A9F"/>
    <w:rsid w:val="FCEF3472"/>
    <w:rsid w:val="FD9DF685"/>
    <w:rsid w:val="FDEF6FF7"/>
    <w:rsid w:val="FEBFC5E9"/>
    <w:rsid w:val="FF1DEC67"/>
    <w:rsid w:val="FF1F7639"/>
    <w:rsid w:val="FFD7105F"/>
    <w:rsid w:val="FFDFEF17"/>
    <w:rsid w:val="FFEF50E8"/>
    <w:rsid w:val="FFF6039B"/>
    <w:rsid w:val="FFF7DE59"/>
    <w:rsid w:val="FFFF1B7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ESI仿宋-GB2312" w:hAnsi="CESI仿宋-GB2312" w:eastAsia="宋体" w:cs="CESI仿宋-GB2312"/>
      <w:bCs/>
      <w:kern w:val="2"/>
      <w:sz w:val="28"/>
      <w:szCs w:val="28"/>
      <w:lang w:val="en-US" w:eastAsia="zh-CN" w:bidi="ar-SA"/>
    </w:rPr>
  </w:style>
  <w:style w:type="character" w:default="1" w:styleId="11">
    <w:name w:val="Default Paragraph Font"/>
    <w:unhideWhenUsed/>
    <w:qFormat/>
    <w:uiPriority w:val="1"/>
  </w:style>
  <w:style w:type="table" w:default="1" w:styleId="9">
    <w:name w:val="Normal Table"/>
    <w:unhideWhenUsed/>
    <w:qFormat/>
    <w:uiPriority w:val="99"/>
    <w:tblPr>
      <w:tblStyle w:val="9"/>
      <w:tblCellMar>
        <w:top w:w="0" w:type="dxa"/>
        <w:left w:w="108" w:type="dxa"/>
        <w:bottom w:w="0" w:type="dxa"/>
        <w:right w:w="108" w:type="dxa"/>
      </w:tblCellMar>
    </w:tblPr>
  </w:style>
  <w:style w:type="paragraph" w:styleId="2">
    <w:name w:val="Body Text"/>
    <w:basedOn w:val="1"/>
    <w:qFormat/>
    <w:uiPriority w:val="99"/>
    <w:pPr>
      <w:widowControl/>
      <w:spacing w:line="360" w:lineRule="auto"/>
      <w:jc w:val="left"/>
    </w:pPr>
    <w:rPr>
      <w:kern w:val="0"/>
      <w:sz w:val="20"/>
      <w:szCs w:val="20"/>
    </w:rPr>
  </w:style>
  <w:style w:type="paragraph" w:styleId="3">
    <w:name w:val="annotation text"/>
    <w:basedOn w:val="1"/>
    <w:unhideWhenUsed/>
    <w:qFormat/>
    <w:uiPriority w:val="99"/>
    <w:pPr>
      <w:jc w:val="left"/>
    </w:pPr>
  </w:style>
  <w:style w:type="paragraph" w:styleId="4">
    <w:name w:val="Date"/>
    <w:basedOn w:val="1"/>
    <w:next w:val="1"/>
    <w:link w:val="13"/>
    <w:unhideWhenUsed/>
    <w:qFormat/>
    <w:uiPriority w:val="99"/>
    <w:pPr>
      <w:ind w:left="100" w:leftChars="2500"/>
    </w:pPr>
  </w:style>
  <w:style w:type="paragraph" w:styleId="5">
    <w:name w:val="Balloon Text"/>
    <w:basedOn w:val="1"/>
    <w:link w:val="14"/>
    <w:unhideWhenUsed/>
    <w:qFormat/>
    <w:uiPriority w:val="99"/>
    <w:rPr>
      <w:sz w:val="18"/>
      <w:szCs w:val="18"/>
    </w:rPr>
  </w:style>
  <w:style w:type="paragraph" w:styleId="6">
    <w:name w:val="footer"/>
    <w:basedOn w:val="1"/>
    <w:link w:val="15"/>
    <w:unhideWhenUsed/>
    <w:qFormat/>
    <w:uiPriority w:val="99"/>
    <w:pPr>
      <w:tabs>
        <w:tab w:val="center" w:pos="4153"/>
        <w:tab w:val="right" w:pos="8306"/>
      </w:tabs>
      <w:snapToGrid w:val="0"/>
      <w:jc w:val="left"/>
    </w:pPr>
    <w:rPr>
      <w:sz w:val="18"/>
      <w:szCs w:val="18"/>
    </w:rPr>
  </w:style>
  <w:style w:type="paragraph" w:styleId="7">
    <w:name w:val="header"/>
    <w:basedOn w:val="1"/>
    <w:link w:val="16"/>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Title"/>
    <w:basedOn w:val="1"/>
    <w:next w:val="1"/>
    <w:link w:val="17"/>
    <w:qFormat/>
    <w:uiPriority w:val="10"/>
    <w:pPr>
      <w:spacing w:before="240" w:after="60" w:line="276" w:lineRule="auto"/>
      <w:jc w:val="center"/>
      <w:outlineLvl w:val="0"/>
    </w:pPr>
    <w:rPr>
      <w:rFonts w:ascii="Cambria" w:hAnsi="Cambria" w:eastAsia="宋体" w:cs="Times New Roman"/>
      <w:b/>
      <w:sz w:val="32"/>
      <w:szCs w:val="32"/>
    </w:rPr>
  </w:style>
  <w:style w:type="table" w:styleId="10">
    <w:name w:val="Table Grid"/>
    <w:basedOn w:val="9"/>
    <w:qFormat/>
    <w:uiPriority w:val="59"/>
    <w:pPr>
      <w:spacing w:after="120" w:line="276" w:lineRule="auto"/>
    </w:pPr>
    <w:tblPr>
      <w:tblStyle w:val="9"/>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annotation reference"/>
    <w:basedOn w:val="11"/>
    <w:unhideWhenUsed/>
    <w:qFormat/>
    <w:uiPriority w:val="99"/>
    <w:rPr>
      <w:sz w:val="21"/>
      <w:szCs w:val="21"/>
    </w:rPr>
  </w:style>
  <w:style w:type="character" w:customStyle="1" w:styleId="13">
    <w:name w:val="日期 Char"/>
    <w:basedOn w:val="11"/>
    <w:link w:val="4"/>
    <w:semiHidden/>
    <w:qFormat/>
    <w:uiPriority w:val="99"/>
  </w:style>
  <w:style w:type="character" w:customStyle="1" w:styleId="14">
    <w:name w:val="批注框文本 Char"/>
    <w:basedOn w:val="11"/>
    <w:link w:val="5"/>
    <w:semiHidden/>
    <w:qFormat/>
    <w:uiPriority w:val="99"/>
    <w:rPr>
      <w:sz w:val="18"/>
      <w:szCs w:val="18"/>
    </w:rPr>
  </w:style>
  <w:style w:type="character" w:customStyle="1" w:styleId="15">
    <w:name w:val="页脚 Char"/>
    <w:basedOn w:val="11"/>
    <w:link w:val="6"/>
    <w:qFormat/>
    <w:uiPriority w:val="99"/>
    <w:rPr>
      <w:sz w:val="18"/>
      <w:szCs w:val="18"/>
    </w:rPr>
  </w:style>
  <w:style w:type="character" w:customStyle="1" w:styleId="16">
    <w:name w:val="页眉 Char"/>
    <w:basedOn w:val="11"/>
    <w:link w:val="7"/>
    <w:qFormat/>
    <w:uiPriority w:val="99"/>
    <w:rPr>
      <w:sz w:val="18"/>
      <w:szCs w:val="18"/>
    </w:rPr>
  </w:style>
  <w:style w:type="character" w:customStyle="1" w:styleId="17">
    <w:name w:val="标题 Char"/>
    <w:basedOn w:val="11"/>
    <w:link w:val="8"/>
    <w:qFormat/>
    <w:uiPriority w:val="10"/>
    <w:rPr>
      <w:rFonts w:ascii="Cambria" w:hAnsi="Cambria" w:eastAsia="宋体" w:cs="Times New Roman"/>
      <w:b/>
      <w:bCs/>
      <w:sz w:val="32"/>
      <w:szCs w:val="32"/>
    </w:rPr>
  </w:style>
  <w:style w:type="paragraph" w:styleId="18">
    <w:name w:val="List Paragraph"/>
    <w:basedOn w:val="1"/>
    <w:qFormat/>
    <w:uiPriority w:val="34"/>
    <w:pPr>
      <w:ind w:firstLine="420" w:firstLineChars="200"/>
    </w:pPr>
  </w:style>
  <w:style w:type="paragraph" w:customStyle="1" w:styleId="19">
    <w:name w:val="附录表标题"/>
    <w:basedOn w:val="1"/>
    <w:next w:val="20"/>
    <w:qFormat/>
    <w:uiPriority w:val="0"/>
    <w:pPr>
      <w:numPr>
        <w:ilvl w:val="1"/>
        <w:numId w:val="1"/>
      </w:numPr>
      <w:spacing w:beforeLines="50" w:afterLines="50"/>
      <w:jc w:val="center"/>
    </w:pPr>
    <w:rPr>
      <w:rFonts w:ascii="黑体" w:hAnsi="Times New Roman" w:eastAsia="黑体" w:cs="Times New Roman"/>
      <w:szCs w:val="21"/>
    </w:rPr>
  </w:style>
  <w:style w:type="paragraph" w:customStyle="1" w:styleId="20">
    <w:name w:val="段"/>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kern w:val="0"/>
      <w:sz w:val="21"/>
      <w:szCs w:val="20"/>
      <w:lang w:val="en-US" w:eastAsia="zh-CN" w:bidi="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3</Pages>
  <Words>4836</Words>
  <Characters>5009</Characters>
  <Lines>19</Lines>
  <Paragraphs>5</Paragraphs>
  <TotalTime>116.333333333333</TotalTime>
  <ScaleCrop>false</ScaleCrop>
  <LinksUpToDate>false</LinksUpToDate>
  <CharactersWithSpaces>5070</CharactersWithSpaces>
  <Application>WPS Office_12.1.0.22089_F1E327BC-269C-435d-A152-05C5408002CA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2021-01-11T01:21:00Z</dcterms:created>
  <dc:creator>㭰ς벀М봀М븀М뺀Мa</dc:creator>
  <cp:lastModifiedBy>田一</cp:lastModifiedBy>
  <cp:lastPrinted>2025-10-22T09:08:16Z</cp:lastPrinted>
  <dcterms:modified xsi:type="dcterms:W3CDTF">2025-10-22T03:41:21Z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2052-12.1.0.22089</vt:lpwstr>
  </property>
  <property fmtid="{D5CDD505-2E9C-101B-9397-08002B2CF9AE}" pid="3" name="ICV">
    <vt:lpwstr>B43DF3E2F6BD4F7D88224ACED4ED8E94_13</vt:lpwstr>
  </property>
  <property fmtid="{D5CDD505-2E9C-101B-9397-08002B2CF9AE}" pid="4" name="KSOTemplateDocerSaveRecord">
    <vt:lpwstr>eyJoZGlkIjoiMTA2N2FiMTU0M2JjZjIxMTMxMTUzMWRiNDU5MzRhYWEiLCJ1c2VySWQiOiIxMDM2ODc5NTU0In0=</vt:lpwstr>
  </property>
</Properties>
</file>