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08DEB1">
      <w:pPr>
        <w:widowControl/>
        <w:spacing w:before="75" w:after="150" w:line="450" w:lineRule="atLeast"/>
        <w:jc w:val="center"/>
        <w:outlineLvl w:val="4"/>
        <w:rPr>
          <w:rFonts w:ascii="宋体" w:hAnsi="宋体" w:eastAsia="宋体" w:cs="宋体"/>
          <w:b/>
          <w:bCs/>
          <w:kern w:val="0"/>
          <w:sz w:val="24"/>
          <w:szCs w:val="24"/>
        </w:rPr>
      </w:pPr>
      <w:r>
        <w:rPr>
          <w:rFonts w:ascii="宋体" w:hAnsi="宋体" w:eastAsia="宋体" w:cs="宋体"/>
          <w:b/>
          <w:bCs/>
          <w:kern w:val="0"/>
          <w:sz w:val="24"/>
          <w:szCs w:val="24"/>
        </w:rPr>
        <w:t>内蒙古昆明卷烟有限责任公司2026—2027年烟用材料采购项目—（第十三标包）其他烟用材料-公开招标公告</w:t>
      </w:r>
    </w:p>
    <w:p w14:paraId="76540157">
      <w:pPr>
        <w:widowControl/>
        <w:spacing w:line="450" w:lineRule="atLeast"/>
        <w:jc w:val="center"/>
        <w:outlineLvl w:val="4"/>
        <w:rPr>
          <w:rFonts w:ascii="宋体" w:hAnsi="宋体" w:eastAsia="宋体" w:cs="宋体"/>
          <w:b/>
          <w:bCs/>
          <w:kern w:val="0"/>
          <w:sz w:val="24"/>
          <w:szCs w:val="24"/>
        </w:rPr>
      </w:pPr>
      <w:r>
        <w:rPr>
          <w:rFonts w:ascii="宋体" w:hAnsi="宋体" w:eastAsia="宋体" w:cs="宋体"/>
          <w:b/>
          <w:bCs/>
          <w:kern w:val="0"/>
          <w:sz w:val="24"/>
          <w:szCs w:val="24"/>
        </w:rPr>
        <w:t>(招标编号：</w:t>
      </w:r>
      <w:r>
        <w:rPr>
          <w:rFonts w:hint="eastAsia" w:ascii="宋体" w:hAnsi="宋体" w:eastAsia="宋体" w:cs="宋体"/>
          <w:b/>
          <w:bCs/>
          <w:kern w:val="0"/>
          <w:sz w:val="24"/>
          <w:szCs w:val="24"/>
        </w:rPr>
        <w:t>B202501BA2001929409987</w:t>
      </w:r>
      <w:r>
        <w:rPr>
          <w:rFonts w:ascii="宋体" w:hAnsi="宋体" w:eastAsia="宋体" w:cs="宋体"/>
          <w:b/>
          <w:bCs/>
          <w:kern w:val="0"/>
          <w:sz w:val="24"/>
          <w:szCs w:val="24"/>
        </w:rPr>
        <w:t>)</w:t>
      </w:r>
    </w:p>
    <w:p w14:paraId="0FC46D08">
      <w:pPr>
        <w:widowControl/>
        <w:adjustRightInd w:val="0"/>
        <w:snapToGrid w:val="0"/>
        <w:spacing w:line="360" w:lineRule="auto"/>
        <w:ind w:firstLine="480"/>
        <w:jc w:val="left"/>
        <w:rPr>
          <w:rFonts w:ascii="宋体" w:hAnsi="宋体" w:eastAsia="宋体" w:cs="宋体"/>
          <w:kern w:val="0"/>
          <w:sz w:val="24"/>
          <w:szCs w:val="24"/>
        </w:rPr>
      </w:pPr>
      <w:r>
        <w:rPr>
          <w:rFonts w:hint="eastAsia" w:ascii="宋体" w:hAnsi="宋体" w:eastAsia="宋体" w:cs="宋体"/>
          <w:kern w:val="0"/>
          <w:sz w:val="24"/>
          <w:szCs w:val="24"/>
        </w:rPr>
        <w:t>招标项目所在地区：内蒙古自治区</w:t>
      </w:r>
    </w:p>
    <w:p w14:paraId="7D977A49">
      <w:pPr>
        <w:widowControl/>
        <w:adjustRightInd w:val="0"/>
        <w:snapToGrid w:val="0"/>
        <w:spacing w:line="360" w:lineRule="auto"/>
        <w:jc w:val="left"/>
        <w:outlineLvl w:val="4"/>
        <w:rPr>
          <w:rFonts w:hint="eastAsia" w:ascii="宋体" w:hAnsi="宋体" w:eastAsia="宋体" w:cs="宋体"/>
          <w:b/>
          <w:bCs/>
          <w:kern w:val="0"/>
          <w:sz w:val="24"/>
          <w:szCs w:val="24"/>
        </w:rPr>
      </w:pPr>
      <w:r>
        <w:rPr>
          <w:rFonts w:ascii="宋体" w:hAnsi="宋体" w:eastAsia="宋体" w:cs="宋体"/>
          <w:b/>
          <w:bCs/>
          <w:kern w:val="0"/>
          <w:sz w:val="24"/>
          <w:szCs w:val="24"/>
        </w:rPr>
        <w:t>一、招标条件</w:t>
      </w:r>
    </w:p>
    <w:p w14:paraId="373B2D12">
      <w:pPr>
        <w:widowControl/>
        <w:adjustRightInd w:val="0"/>
        <w:snapToGrid w:val="0"/>
        <w:spacing w:line="360" w:lineRule="auto"/>
        <w:ind w:firstLine="480"/>
        <w:jc w:val="left"/>
        <w:rPr>
          <w:rFonts w:ascii="宋体" w:hAnsi="宋体" w:eastAsia="宋体" w:cs="宋体"/>
          <w:kern w:val="0"/>
          <w:sz w:val="24"/>
          <w:szCs w:val="24"/>
        </w:rPr>
      </w:pPr>
      <w:r>
        <w:rPr>
          <w:rFonts w:hint="eastAsia" w:ascii="宋体" w:hAnsi="宋体" w:eastAsia="宋体" w:cs="宋体"/>
          <w:kern w:val="0"/>
          <w:sz w:val="24"/>
          <w:szCs w:val="24"/>
        </w:rPr>
        <w:t>本招标项目内蒙古昆明卷烟有限责任公司2026—2027年烟用材料采购项目—（第十三标包）其他烟用材料（招标项目编号：B202501BA2001929409987），已由项目审批/核准/备案机关批准，项目资金来源为 企业自筹，招标人为内蒙古昆明卷烟有限责任公司。本项目已具备招标条件，现进行公开招标。</w:t>
      </w:r>
    </w:p>
    <w:p w14:paraId="743CCA67">
      <w:pPr>
        <w:widowControl/>
        <w:adjustRightInd w:val="0"/>
        <w:snapToGrid w:val="0"/>
        <w:spacing w:line="360" w:lineRule="auto"/>
        <w:jc w:val="left"/>
        <w:outlineLvl w:val="4"/>
        <w:rPr>
          <w:rFonts w:hint="eastAsia" w:ascii="宋体" w:hAnsi="宋体" w:eastAsia="宋体" w:cs="宋体"/>
          <w:b/>
          <w:bCs/>
          <w:kern w:val="0"/>
          <w:sz w:val="24"/>
          <w:szCs w:val="24"/>
        </w:rPr>
      </w:pPr>
      <w:r>
        <w:rPr>
          <w:rFonts w:ascii="宋体" w:hAnsi="宋体" w:eastAsia="宋体" w:cs="宋体"/>
          <w:b/>
          <w:bCs/>
          <w:kern w:val="0"/>
          <w:sz w:val="24"/>
          <w:szCs w:val="24"/>
        </w:rPr>
        <w:t>二、项目概况和招标范围</w:t>
      </w:r>
    </w:p>
    <w:p w14:paraId="5B2DBA77">
      <w:pPr>
        <w:widowControl/>
        <w:adjustRightInd w:val="0"/>
        <w:snapToGrid w:val="0"/>
        <w:spacing w:line="360" w:lineRule="auto"/>
        <w:ind w:firstLine="480"/>
        <w:jc w:val="left"/>
        <w:rPr>
          <w:rFonts w:ascii="宋体" w:hAnsi="宋体" w:eastAsia="宋体" w:cs="宋体"/>
          <w:kern w:val="0"/>
          <w:sz w:val="24"/>
          <w:szCs w:val="24"/>
        </w:rPr>
      </w:pPr>
      <w:r>
        <w:rPr>
          <w:rFonts w:hint="eastAsia" w:ascii="宋体" w:hAnsi="宋体" w:eastAsia="宋体" w:cs="宋体"/>
          <w:kern w:val="0"/>
          <w:sz w:val="24"/>
          <w:szCs w:val="24"/>
        </w:rPr>
        <w:t>项目规模：33.02万元(人民币)。</w:t>
      </w:r>
    </w:p>
    <w:p w14:paraId="04575A8D">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招标内容与范围：1.招标内容：品名1：蒙昆自用塑料袋（700mm*480mm*1200mm）；品名2：蒙昆自用塑料袋（860mm*490mm*1180mm）；品名3：缠绕膜。2.合同期限：2026年1月1日至2027年6月30日。3.交货时间：合同签订后按照招标人要求分批次交货，为满足招标人柔性化生产的需求,投标人须按照订单约定的交货时间交货。4.交货地点：内蒙古昆明卷烟有限责任公司物流中心仓库。</w:t>
      </w:r>
    </w:p>
    <w:p w14:paraId="2639753E">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本招标项目划分为1个标段，本次招标为其中的：</w:t>
      </w:r>
    </w:p>
    <w:p w14:paraId="055390D6">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001 2026—2027年烟用材料采购项目—（第十三标包）其他烟用材料</w:t>
      </w:r>
    </w:p>
    <w:p w14:paraId="71E815E4">
      <w:pPr>
        <w:widowControl/>
        <w:adjustRightInd w:val="0"/>
        <w:snapToGrid w:val="0"/>
        <w:spacing w:line="360" w:lineRule="auto"/>
        <w:jc w:val="left"/>
        <w:outlineLvl w:val="4"/>
        <w:rPr>
          <w:rFonts w:hint="eastAsia" w:ascii="宋体" w:hAnsi="宋体" w:eastAsia="宋体" w:cs="宋体"/>
          <w:b/>
          <w:bCs/>
          <w:kern w:val="0"/>
          <w:sz w:val="24"/>
          <w:szCs w:val="24"/>
        </w:rPr>
      </w:pPr>
      <w:r>
        <w:rPr>
          <w:rFonts w:ascii="宋体" w:hAnsi="宋体" w:eastAsia="宋体" w:cs="宋体"/>
          <w:b/>
          <w:bCs/>
          <w:kern w:val="0"/>
          <w:sz w:val="24"/>
          <w:szCs w:val="24"/>
        </w:rPr>
        <w:t>三、投标人资格要求</w:t>
      </w:r>
    </w:p>
    <w:p w14:paraId="6F9CB5D9">
      <w:pPr>
        <w:widowControl/>
        <w:adjustRightInd w:val="0"/>
        <w:snapToGrid w:val="0"/>
        <w:spacing w:line="360" w:lineRule="auto"/>
        <w:ind w:firstLine="480"/>
        <w:jc w:val="left"/>
        <w:rPr>
          <w:rFonts w:ascii="宋体" w:hAnsi="宋体" w:eastAsia="宋体" w:cs="宋体"/>
          <w:kern w:val="0"/>
          <w:sz w:val="24"/>
          <w:szCs w:val="24"/>
        </w:rPr>
      </w:pPr>
      <w:r>
        <w:rPr>
          <w:rFonts w:hint="eastAsia" w:ascii="宋体" w:hAnsi="宋体" w:eastAsia="宋体" w:cs="宋体"/>
          <w:kern w:val="0"/>
          <w:sz w:val="24"/>
          <w:szCs w:val="24"/>
        </w:rPr>
        <w:t>001 2026—2027年烟用材料采购项目—（第十三标包）其他烟用材料：</w:t>
      </w:r>
    </w:p>
    <w:p w14:paraId="69F946EE">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14:paraId="1B231778">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（二）投标人具有有效的营业执照或其他法定资格证明；</w:t>
      </w:r>
    </w:p>
    <w:p w14:paraId="2C480580">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（三）投标人必须是投标产品的制造商，须出具制造商声明；</w:t>
      </w:r>
    </w:p>
    <w:p w14:paraId="6207CE19">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（四）投标人及其法定代表人、主要负责人至投标截止日前三年内（成立时间不足三年的，自成立时间起）无行贿行为记录（以中国裁判文书网的查询结果为准）；</w:t>
      </w:r>
    </w:p>
    <w:p w14:paraId="607A83AD">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（五）投标人法定代表人、主要负责人为同一人或者存在控股、管理关系的不同单位，不得参加同一标段投标或者未划分标段的同一招标项目投标，否则，相关投标无效；</w:t>
      </w:r>
    </w:p>
    <w:p w14:paraId="571A6195">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六）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2A1E73E3">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（七）本项目不接受分包；</w:t>
      </w:r>
    </w:p>
    <w:p w14:paraId="6D508E60">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lang w:eastAsia="zh-CN"/>
        </w:rPr>
        <w:t>（八）</w:t>
      </w:r>
      <w:bookmarkStart w:id="0" w:name="_GoBack"/>
      <w:bookmarkEnd w:id="0"/>
      <w:r>
        <w:rPr>
          <w:rFonts w:hint="eastAsia" w:ascii="宋体" w:hAnsi="宋体" w:eastAsia="宋体" w:cs="宋体"/>
          <w:kern w:val="0"/>
          <w:sz w:val="24"/>
          <w:szCs w:val="24"/>
        </w:rPr>
        <w:t>本项目不允许联合体投标。</w:t>
      </w:r>
    </w:p>
    <w:p w14:paraId="4672DA95">
      <w:pPr>
        <w:widowControl/>
        <w:adjustRightInd w:val="0"/>
        <w:snapToGrid w:val="0"/>
        <w:spacing w:line="360" w:lineRule="auto"/>
        <w:jc w:val="left"/>
        <w:outlineLvl w:val="4"/>
        <w:rPr>
          <w:rFonts w:hint="eastAsia" w:ascii="宋体" w:hAnsi="宋体" w:eastAsia="宋体" w:cs="宋体"/>
          <w:b/>
          <w:bCs/>
          <w:kern w:val="0"/>
          <w:sz w:val="24"/>
          <w:szCs w:val="24"/>
        </w:rPr>
      </w:pPr>
      <w:r>
        <w:rPr>
          <w:rFonts w:ascii="宋体" w:hAnsi="宋体" w:eastAsia="宋体" w:cs="宋体"/>
          <w:b/>
          <w:bCs/>
          <w:kern w:val="0"/>
          <w:sz w:val="24"/>
          <w:szCs w:val="24"/>
        </w:rPr>
        <w:t>四、招标文件的获取</w:t>
      </w:r>
    </w:p>
    <w:p w14:paraId="3F385A93">
      <w:pPr>
        <w:widowControl/>
        <w:adjustRightInd w:val="0"/>
        <w:snapToGrid w:val="0"/>
        <w:spacing w:line="360" w:lineRule="auto"/>
        <w:ind w:firstLine="480"/>
        <w:jc w:val="left"/>
        <w:rPr>
          <w:rFonts w:ascii="宋体" w:hAnsi="宋体" w:eastAsia="宋体" w:cs="宋体"/>
          <w:kern w:val="0"/>
          <w:sz w:val="24"/>
          <w:szCs w:val="24"/>
        </w:rPr>
      </w:pPr>
      <w:r>
        <w:rPr>
          <w:rFonts w:hint="eastAsia" w:ascii="宋体" w:hAnsi="宋体" w:eastAsia="宋体" w:cs="宋体"/>
          <w:kern w:val="0"/>
          <w:sz w:val="24"/>
          <w:szCs w:val="24"/>
        </w:rPr>
        <w:t>获取时间：2025年10月31日17时00分00秒---2025年11月06日17时00分00秒</w:t>
      </w:r>
    </w:p>
    <w:p w14:paraId="6FF78813">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获取方法：本项目为全流程电子化招投标项目，招标文件获取方式：1、登录中烟电子采购平台(https://cgjy.tobacco.com.cn/，以下简称“电子采购平台”，下同)，已在该平台注册过的可直接登录,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提交支付记录，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获取招标文件费用：500元/标包，售后不退。</w:t>
      </w:r>
    </w:p>
    <w:p w14:paraId="062C3678">
      <w:pPr>
        <w:widowControl/>
        <w:adjustRightInd w:val="0"/>
        <w:snapToGrid w:val="0"/>
        <w:spacing w:line="360" w:lineRule="auto"/>
        <w:jc w:val="left"/>
        <w:outlineLvl w:val="4"/>
        <w:rPr>
          <w:rFonts w:hint="eastAsia" w:ascii="宋体" w:hAnsi="宋体" w:eastAsia="宋体" w:cs="宋体"/>
          <w:b/>
          <w:bCs/>
          <w:kern w:val="0"/>
          <w:sz w:val="24"/>
          <w:szCs w:val="24"/>
        </w:rPr>
      </w:pPr>
      <w:r>
        <w:rPr>
          <w:rFonts w:ascii="宋体" w:hAnsi="宋体" w:eastAsia="宋体" w:cs="宋体"/>
          <w:b/>
          <w:bCs/>
          <w:kern w:val="0"/>
          <w:sz w:val="24"/>
          <w:szCs w:val="24"/>
        </w:rPr>
        <w:t>五、投标文件的递交</w:t>
      </w:r>
    </w:p>
    <w:p w14:paraId="69324CEB">
      <w:pPr>
        <w:widowControl/>
        <w:adjustRightInd w:val="0"/>
        <w:snapToGrid w:val="0"/>
        <w:spacing w:line="360" w:lineRule="auto"/>
        <w:ind w:firstLine="480"/>
        <w:jc w:val="left"/>
        <w:rPr>
          <w:rFonts w:ascii="宋体" w:hAnsi="宋体" w:eastAsia="宋体" w:cs="宋体"/>
          <w:kern w:val="0"/>
          <w:sz w:val="24"/>
          <w:szCs w:val="24"/>
        </w:rPr>
      </w:pPr>
      <w:r>
        <w:rPr>
          <w:rFonts w:hint="eastAsia" w:ascii="宋体" w:hAnsi="宋体" w:eastAsia="宋体" w:cs="宋体"/>
          <w:kern w:val="0"/>
          <w:sz w:val="24"/>
          <w:szCs w:val="24"/>
        </w:rPr>
        <w:t>递交截止时间：2025年12月02日09时00分00秒</w:t>
      </w:r>
    </w:p>
    <w:p w14:paraId="49BDBD78">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递交方法：1、投标人应当在投标截止时间前，使用“中烟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中烟电子采购平台投标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010—86460206进行咨询。</w:t>
      </w:r>
    </w:p>
    <w:p w14:paraId="0F1A863B">
      <w:pPr>
        <w:widowControl/>
        <w:adjustRightInd w:val="0"/>
        <w:snapToGrid w:val="0"/>
        <w:spacing w:line="360" w:lineRule="auto"/>
        <w:jc w:val="left"/>
        <w:outlineLvl w:val="4"/>
        <w:rPr>
          <w:rFonts w:hint="eastAsia" w:ascii="宋体" w:hAnsi="宋体" w:eastAsia="宋体" w:cs="宋体"/>
          <w:b/>
          <w:bCs/>
          <w:kern w:val="0"/>
          <w:sz w:val="24"/>
          <w:szCs w:val="24"/>
        </w:rPr>
      </w:pPr>
      <w:r>
        <w:rPr>
          <w:rFonts w:ascii="宋体" w:hAnsi="宋体" w:eastAsia="宋体" w:cs="宋体"/>
          <w:b/>
          <w:bCs/>
          <w:kern w:val="0"/>
          <w:sz w:val="24"/>
          <w:szCs w:val="24"/>
        </w:rPr>
        <w:t>六、开标时间及地点</w:t>
      </w:r>
    </w:p>
    <w:p w14:paraId="079C2C8D">
      <w:pPr>
        <w:widowControl/>
        <w:adjustRightInd w:val="0"/>
        <w:snapToGrid w:val="0"/>
        <w:spacing w:line="360" w:lineRule="auto"/>
        <w:ind w:firstLine="480"/>
        <w:jc w:val="left"/>
        <w:rPr>
          <w:rFonts w:ascii="宋体" w:hAnsi="宋体" w:eastAsia="宋体" w:cs="宋体"/>
          <w:kern w:val="0"/>
          <w:sz w:val="24"/>
          <w:szCs w:val="24"/>
        </w:rPr>
      </w:pPr>
      <w:r>
        <w:rPr>
          <w:rFonts w:hint="eastAsia" w:ascii="宋体" w:hAnsi="宋体" w:eastAsia="宋体" w:cs="宋体"/>
          <w:kern w:val="0"/>
          <w:sz w:val="24"/>
          <w:szCs w:val="24"/>
        </w:rPr>
        <w:t>开标时间：2025年12月02日09时00分00秒</w:t>
      </w:r>
    </w:p>
    <w:p w14:paraId="0D65C9A9">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开标地点及方式：1、开标方式：本项目采用“远程不见面”开标方式，投标人应当在投标截止时间前，登录“电子采购平台”远程开标大厅，在线准时参加开标活动。本项目采取“集中解密”。2、开标地点：中烟电子采购平台远程开标大厅。</w:t>
      </w:r>
    </w:p>
    <w:p w14:paraId="14F600DC">
      <w:pPr>
        <w:widowControl/>
        <w:adjustRightInd w:val="0"/>
        <w:snapToGrid w:val="0"/>
        <w:spacing w:line="360" w:lineRule="auto"/>
        <w:jc w:val="left"/>
        <w:outlineLvl w:val="4"/>
        <w:rPr>
          <w:rFonts w:hint="eastAsia" w:ascii="宋体" w:hAnsi="宋体" w:eastAsia="宋体" w:cs="宋体"/>
          <w:b/>
          <w:bCs/>
          <w:kern w:val="0"/>
          <w:sz w:val="24"/>
          <w:szCs w:val="24"/>
        </w:rPr>
      </w:pPr>
      <w:r>
        <w:rPr>
          <w:rFonts w:ascii="宋体" w:hAnsi="宋体" w:eastAsia="宋体" w:cs="宋体"/>
          <w:b/>
          <w:bCs/>
          <w:kern w:val="0"/>
          <w:sz w:val="24"/>
          <w:szCs w:val="24"/>
        </w:rPr>
        <w:t>七、其他公告内容</w:t>
      </w:r>
    </w:p>
    <w:p w14:paraId="3C8BAEB2">
      <w:pPr>
        <w:widowControl/>
        <w:adjustRightInd w:val="0"/>
        <w:snapToGrid w:val="0"/>
        <w:spacing w:line="360" w:lineRule="auto"/>
        <w:ind w:firstLine="480"/>
        <w:rPr>
          <w:rFonts w:ascii="宋体" w:hAnsi="宋体" w:eastAsia="宋体" w:cs="宋体"/>
          <w:kern w:val="0"/>
          <w:sz w:val="24"/>
          <w:szCs w:val="24"/>
        </w:rPr>
      </w:pPr>
      <w:r>
        <w:rPr>
          <w:rFonts w:hint="eastAsia" w:ascii="宋体" w:hAnsi="宋体" w:eastAsia="宋体" w:cs="宋体"/>
          <w:kern w:val="0"/>
          <w:sz w:val="24"/>
          <w:szCs w:val="24"/>
        </w:rPr>
        <w:t>（一）对招标内容与范围的补充</w:t>
      </w:r>
    </w:p>
    <w:p w14:paraId="55B9B409">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1.本次招标为单价招标，中标后实际供货量以采购订单为准。2026年预计采购金额22.00万元，2027年采购金额以当年实际发生金额为准。</w:t>
      </w:r>
    </w:p>
    <w:p w14:paraId="503CA126">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2.每年预计塑料袋采购量50000个，缠绕膜500公斤(预计采购量仅为投标报价提供参考，不作为中标后实际采购量)。</w:t>
      </w:r>
    </w:p>
    <w:p w14:paraId="40FF0D84">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3.各投标人必须对招标内容产品整体投标，不得缺项、漏项，否则作否决投标处理。</w:t>
      </w:r>
    </w:p>
    <w:p w14:paraId="13B64B36">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4.最高投标限价、拟中标家数和拟中标权重统计表</w:t>
      </w:r>
    </w:p>
    <w:tbl>
      <w:tblPr>
        <w:tblStyle w:val="14"/>
        <w:tblW w:w="5000" w:type="pct"/>
        <w:jc w:val="center"/>
        <w:tblLayout w:type="autofit"/>
        <w:tblCellMar>
          <w:top w:w="0" w:type="dxa"/>
          <w:left w:w="0" w:type="dxa"/>
          <w:bottom w:w="0" w:type="dxa"/>
          <w:right w:w="0" w:type="dxa"/>
        </w:tblCellMar>
      </w:tblPr>
      <w:tblGrid>
        <w:gridCol w:w="921"/>
        <w:gridCol w:w="3591"/>
        <w:gridCol w:w="2016"/>
        <w:gridCol w:w="715"/>
        <w:gridCol w:w="1082"/>
        <w:gridCol w:w="766"/>
        <w:gridCol w:w="763"/>
      </w:tblGrid>
      <w:tr w14:paraId="66FD23CB">
        <w:tblPrEx>
          <w:tblCellMar>
            <w:top w:w="0" w:type="dxa"/>
            <w:left w:w="0" w:type="dxa"/>
            <w:bottom w:w="0" w:type="dxa"/>
            <w:right w:w="0" w:type="dxa"/>
          </w:tblCellMar>
        </w:tblPrEx>
        <w:trPr>
          <w:trHeight w:val="23" w:hRule="atLeast"/>
          <w:jc w:val="center"/>
        </w:trPr>
        <w:tc>
          <w:tcPr>
            <w:tcW w:w="467" w:type="pct"/>
            <w:tcBorders>
              <w:top w:val="single" w:color="auto" w:sz="8" w:space="0"/>
              <w:left w:val="single" w:color="auto" w:sz="8" w:space="0"/>
              <w:bottom w:val="single" w:color="auto" w:sz="8" w:space="0"/>
              <w:right w:val="single" w:color="auto" w:sz="8" w:space="0"/>
            </w:tcBorders>
            <w:noWrap/>
            <w:tcMar>
              <w:top w:w="0" w:type="dxa"/>
              <w:left w:w="108" w:type="dxa"/>
              <w:bottom w:w="0" w:type="dxa"/>
              <w:right w:w="108" w:type="dxa"/>
            </w:tcMar>
            <w:vAlign w:val="center"/>
          </w:tcPr>
          <w:p w14:paraId="53700A51">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序号</w:t>
            </w:r>
          </w:p>
        </w:tc>
        <w:tc>
          <w:tcPr>
            <w:tcW w:w="1804" w:type="pct"/>
            <w:tcBorders>
              <w:top w:val="single" w:color="auto" w:sz="8" w:space="0"/>
              <w:left w:val="nil"/>
              <w:bottom w:val="single" w:color="auto" w:sz="8" w:space="0"/>
              <w:right w:val="single" w:color="auto" w:sz="8" w:space="0"/>
            </w:tcBorders>
            <w:noWrap/>
            <w:tcMar>
              <w:top w:w="0" w:type="dxa"/>
              <w:left w:w="108" w:type="dxa"/>
              <w:bottom w:w="0" w:type="dxa"/>
              <w:right w:w="108" w:type="dxa"/>
            </w:tcMar>
            <w:vAlign w:val="center"/>
          </w:tcPr>
          <w:p w14:paraId="0C48AC02">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品名</w:t>
            </w:r>
          </w:p>
        </w:tc>
        <w:tc>
          <w:tcPr>
            <w:tcW w:w="1052" w:type="pct"/>
            <w:tcBorders>
              <w:top w:val="single" w:color="auto" w:sz="8" w:space="0"/>
              <w:left w:val="nil"/>
              <w:bottom w:val="single" w:color="auto" w:sz="8" w:space="0"/>
              <w:right w:val="single" w:color="auto" w:sz="8" w:space="0"/>
            </w:tcBorders>
            <w:noWrap/>
            <w:tcMar>
              <w:top w:w="0" w:type="dxa"/>
              <w:left w:w="108" w:type="dxa"/>
              <w:bottom w:w="0" w:type="dxa"/>
              <w:right w:w="108" w:type="dxa"/>
            </w:tcMar>
            <w:vAlign w:val="center"/>
          </w:tcPr>
          <w:p w14:paraId="5AFB6F63">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不含税最高投标限价</w:t>
            </w:r>
          </w:p>
        </w:tc>
        <w:tc>
          <w:tcPr>
            <w:tcW w:w="357"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7AED1EAD">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拟中标家数</w:t>
            </w:r>
          </w:p>
        </w:tc>
        <w:tc>
          <w:tcPr>
            <w:tcW w:w="553"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75BEBA65">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拟中标权重（%）</w:t>
            </w:r>
          </w:p>
        </w:tc>
        <w:tc>
          <w:tcPr>
            <w:tcW w:w="384"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3101B618">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备选供应商家数</w:t>
            </w:r>
          </w:p>
        </w:tc>
        <w:tc>
          <w:tcPr>
            <w:tcW w:w="383"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29B384DF">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备注</w:t>
            </w:r>
          </w:p>
        </w:tc>
      </w:tr>
      <w:tr w14:paraId="47153856">
        <w:tblPrEx>
          <w:tblCellMar>
            <w:top w:w="0" w:type="dxa"/>
            <w:left w:w="0" w:type="dxa"/>
            <w:bottom w:w="0" w:type="dxa"/>
            <w:right w:w="0" w:type="dxa"/>
          </w:tblCellMar>
        </w:tblPrEx>
        <w:trPr>
          <w:trHeight w:val="514" w:hRule="atLeast"/>
          <w:jc w:val="center"/>
        </w:trPr>
        <w:tc>
          <w:tcPr>
            <w:tcW w:w="467" w:type="pct"/>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14:paraId="18531936">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804" w:type="pct"/>
            <w:tcBorders>
              <w:top w:val="nil"/>
              <w:left w:val="nil"/>
              <w:bottom w:val="single" w:color="auto" w:sz="8" w:space="0"/>
              <w:right w:val="single" w:color="auto" w:sz="8" w:space="0"/>
            </w:tcBorders>
            <w:noWrap/>
            <w:tcMar>
              <w:top w:w="0" w:type="dxa"/>
              <w:left w:w="108" w:type="dxa"/>
              <w:bottom w:w="0" w:type="dxa"/>
              <w:right w:w="108" w:type="dxa"/>
            </w:tcMar>
            <w:vAlign w:val="center"/>
          </w:tcPr>
          <w:p w14:paraId="46FAE6C3">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蒙昆自用塑料袋（700mm*480mm*1200mm）</w:t>
            </w:r>
          </w:p>
        </w:tc>
        <w:tc>
          <w:tcPr>
            <w:tcW w:w="1052" w:type="pct"/>
            <w:tcBorders>
              <w:top w:val="nil"/>
              <w:left w:val="nil"/>
              <w:bottom w:val="single" w:color="auto" w:sz="8" w:space="0"/>
              <w:right w:val="single" w:color="auto" w:sz="8" w:space="0"/>
            </w:tcBorders>
            <w:noWrap/>
            <w:tcMar>
              <w:top w:w="0" w:type="dxa"/>
              <w:left w:w="108" w:type="dxa"/>
              <w:bottom w:w="0" w:type="dxa"/>
              <w:right w:w="108" w:type="dxa"/>
            </w:tcMar>
            <w:vAlign w:val="center"/>
          </w:tcPr>
          <w:p w14:paraId="22739EE2">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1.46元/个</w:t>
            </w:r>
          </w:p>
        </w:tc>
        <w:tc>
          <w:tcPr>
            <w:tcW w:w="357" w:type="pct"/>
            <w:vMerge w:val="restart"/>
            <w:tcBorders>
              <w:top w:val="nil"/>
              <w:left w:val="nil"/>
              <w:bottom w:val="single" w:color="auto" w:sz="8" w:space="0"/>
              <w:right w:val="single" w:color="auto" w:sz="8" w:space="0"/>
            </w:tcBorders>
            <w:tcMar>
              <w:top w:w="0" w:type="dxa"/>
              <w:left w:w="108" w:type="dxa"/>
              <w:bottom w:w="0" w:type="dxa"/>
              <w:right w:w="108" w:type="dxa"/>
            </w:tcMar>
            <w:vAlign w:val="center"/>
          </w:tcPr>
          <w:p w14:paraId="48A307FD">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553" w:type="pct"/>
            <w:vMerge w:val="restart"/>
            <w:tcBorders>
              <w:top w:val="nil"/>
              <w:left w:val="nil"/>
              <w:bottom w:val="single" w:color="auto" w:sz="8" w:space="0"/>
              <w:right w:val="single" w:color="auto" w:sz="8" w:space="0"/>
            </w:tcBorders>
            <w:tcMar>
              <w:top w:w="0" w:type="dxa"/>
              <w:left w:w="108" w:type="dxa"/>
              <w:bottom w:w="0" w:type="dxa"/>
              <w:right w:w="108" w:type="dxa"/>
            </w:tcMar>
            <w:vAlign w:val="center"/>
          </w:tcPr>
          <w:p w14:paraId="31763E1E">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100</w:t>
            </w:r>
          </w:p>
        </w:tc>
        <w:tc>
          <w:tcPr>
            <w:tcW w:w="384" w:type="pct"/>
            <w:vMerge w:val="restart"/>
            <w:tcBorders>
              <w:top w:val="nil"/>
              <w:left w:val="nil"/>
              <w:bottom w:val="single" w:color="auto" w:sz="8" w:space="0"/>
              <w:right w:val="single" w:color="auto" w:sz="8" w:space="0"/>
            </w:tcBorders>
            <w:tcMar>
              <w:top w:w="0" w:type="dxa"/>
              <w:left w:w="108" w:type="dxa"/>
              <w:bottom w:w="0" w:type="dxa"/>
              <w:right w:w="108" w:type="dxa"/>
            </w:tcMar>
            <w:vAlign w:val="center"/>
          </w:tcPr>
          <w:p w14:paraId="2039CA22">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383" w:type="pct"/>
            <w:tcBorders>
              <w:top w:val="nil"/>
              <w:left w:val="nil"/>
              <w:bottom w:val="single" w:color="auto" w:sz="8" w:space="0"/>
              <w:right w:val="single" w:color="auto" w:sz="8" w:space="0"/>
            </w:tcBorders>
            <w:tcMar>
              <w:top w:w="0" w:type="dxa"/>
              <w:left w:w="108" w:type="dxa"/>
              <w:bottom w:w="0" w:type="dxa"/>
              <w:right w:w="108" w:type="dxa"/>
            </w:tcMar>
            <w:vAlign w:val="center"/>
          </w:tcPr>
          <w:p w14:paraId="640C4DE5">
            <w:pPr>
              <w:widowControl/>
              <w:adjustRightInd w:val="0"/>
              <w:snapToGrid w:val="0"/>
              <w:spacing w:line="360" w:lineRule="auto"/>
              <w:ind w:firstLine="480"/>
              <w:jc w:val="center"/>
              <w:rPr>
                <w:rFonts w:hint="eastAsia" w:ascii="宋体" w:hAnsi="宋体" w:eastAsia="宋体" w:cs="宋体"/>
                <w:kern w:val="0"/>
                <w:sz w:val="24"/>
                <w:szCs w:val="24"/>
              </w:rPr>
            </w:pPr>
          </w:p>
        </w:tc>
      </w:tr>
      <w:tr w14:paraId="3022DA8F">
        <w:tblPrEx>
          <w:tblCellMar>
            <w:top w:w="0" w:type="dxa"/>
            <w:left w:w="0" w:type="dxa"/>
            <w:bottom w:w="0" w:type="dxa"/>
            <w:right w:w="0" w:type="dxa"/>
          </w:tblCellMar>
        </w:tblPrEx>
        <w:trPr>
          <w:trHeight w:val="783" w:hRule="atLeast"/>
          <w:jc w:val="center"/>
        </w:trPr>
        <w:tc>
          <w:tcPr>
            <w:tcW w:w="467" w:type="pct"/>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14:paraId="141F1589">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1804" w:type="pct"/>
            <w:tcBorders>
              <w:top w:val="nil"/>
              <w:left w:val="nil"/>
              <w:bottom w:val="single" w:color="auto" w:sz="8" w:space="0"/>
              <w:right w:val="single" w:color="auto" w:sz="8" w:space="0"/>
            </w:tcBorders>
            <w:noWrap/>
            <w:tcMar>
              <w:top w:w="0" w:type="dxa"/>
              <w:left w:w="108" w:type="dxa"/>
              <w:bottom w:w="0" w:type="dxa"/>
              <w:right w:w="108" w:type="dxa"/>
            </w:tcMar>
            <w:vAlign w:val="center"/>
          </w:tcPr>
          <w:p w14:paraId="0789D787">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蒙昆自用塑料袋（860mm*490mm*1180mm）</w:t>
            </w:r>
          </w:p>
        </w:tc>
        <w:tc>
          <w:tcPr>
            <w:tcW w:w="1052" w:type="pct"/>
            <w:tcBorders>
              <w:top w:val="nil"/>
              <w:left w:val="nil"/>
              <w:bottom w:val="single" w:color="auto" w:sz="8" w:space="0"/>
              <w:right w:val="single" w:color="auto" w:sz="8" w:space="0"/>
            </w:tcBorders>
            <w:noWrap/>
            <w:tcMar>
              <w:top w:w="0" w:type="dxa"/>
              <w:left w:w="108" w:type="dxa"/>
              <w:bottom w:w="0" w:type="dxa"/>
              <w:right w:w="108" w:type="dxa"/>
            </w:tcMar>
            <w:vAlign w:val="center"/>
          </w:tcPr>
          <w:p w14:paraId="4E1E16B5">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1.68元/个</w:t>
            </w:r>
          </w:p>
        </w:tc>
        <w:tc>
          <w:tcPr>
            <w:tcW w:w="357" w:type="pct"/>
            <w:vMerge w:val="continue"/>
            <w:tcBorders>
              <w:top w:val="nil"/>
              <w:left w:val="nil"/>
              <w:bottom w:val="single" w:color="auto" w:sz="8" w:space="0"/>
              <w:right w:val="single" w:color="auto" w:sz="8" w:space="0"/>
            </w:tcBorders>
            <w:vAlign w:val="center"/>
          </w:tcPr>
          <w:p w14:paraId="7359EE39">
            <w:pPr>
              <w:widowControl/>
              <w:adjustRightInd w:val="0"/>
              <w:snapToGrid w:val="0"/>
              <w:spacing w:line="360" w:lineRule="auto"/>
              <w:jc w:val="center"/>
              <w:rPr>
                <w:rFonts w:ascii="宋体" w:hAnsi="宋体" w:eastAsia="宋体" w:cs="宋体"/>
                <w:kern w:val="0"/>
                <w:sz w:val="24"/>
                <w:szCs w:val="24"/>
              </w:rPr>
            </w:pPr>
          </w:p>
        </w:tc>
        <w:tc>
          <w:tcPr>
            <w:tcW w:w="553" w:type="pct"/>
            <w:vMerge w:val="continue"/>
            <w:tcBorders>
              <w:top w:val="nil"/>
              <w:left w:val="nil"/>
              <w:bottom w:val="single" w:color="auto" w:sz="8" w:space="0"/>
              <w:right w:val="single" w:color="auto" w:sz="8" w:space="0"/>
            </w:tcBorders>
            <w:vAlign w:val="center"/>
          </w:tcPr>
          <w:p w14:paraId="5C15040E">
            <w:pPr>
              <w:widowControl/>
              <w:adjustRightInd w:val="0"/>
              <w:snapToGrid w:val="0"/>
              <w:spacing w:line="360" w:lineRule="auto"/>
              <w:jc w:val="center"/>
              <w:rPr>
                <w:rFonts w:ascii="宋体" w:hAnsi="宋体" w:eastAsia="宋体" w:cs="宋体"/>
                <w:kern w:val="0"/>
                <w:sz w:val="24"/>
                <w:szCs w:val="24"/>
              </w:rPr>
            </w:pPr>
          </w:p>
        </w:tc>
        <w:tc>
          <w:tcPr>
            <w:tcW w:w="0" w:type="auto"/>
            <w:vMerge w:val="continue"/>
            <w:tcBorders>
              <w:top w:val="nil"/>
              <w:left w:val="nil"/>
              <w:bottom w:val="single" w:color="auto" w:sz="8" w:space="0"/>
              <w:right w:val="single" w:color="auto" w:sz="8" w:space="0"/>
            </w:tcBorders>
            <w:vAlign w:val="center"/>
          </w:tcPr>
          <w:p w14:paraId="2D4976F6">
            <w:pPr>
              <w:widowControl/>
              <w:adjustRightInd w:val="0"/>
              <w:snapToGrid w:val="0"/>
              <w:spacing w:line="360" w:lineRule="auto"/>
              <w:jc w:val="center"/>
              <w:rPr>
                <w:rFonts w:ascii="宋体" w:hAnsi="宋体" w:eastAsia="宋体" w:cs="宋体"/>
                <w:kern w:val="0"/>
                <w:sz w:val="24"/>
                <w:szCs w:val="24"/>
              </w:rPr>
            </w:pPr>
          </w:p>
        </w:tc>
        <w:tc>
          <w:tcPr>
            <w:tcW w:w="383" w:type="pct"/>
            <w:tcBorders>
              <w:top w:val="nil"/>
              <w:left w:val="nil"/>
              <w:bottom w:val="single" w:color="auto" w:sz="8" w:space="0"/>
              <w:right w:val="single" w:color="auto" w:sz="8" w:space="0"/>
            </w:tcBorders>
            <w:tcMar>
              <w:top w:w="0" w:type="dxa"/>
              <w:left w:w="108" w:type="dxa"/>
              <w:bottom w:w="0" w:type="dxa"/>
              <w:right w:w="108" w:type="dxa"/>
            </w:tcMar>
            <w:vAlign w:val="center"/>
          </w:tcPr>
          <w:p w14:paraId="76658817">
            <w:pPr>
              <w:widowControl/>
              <w:adjustRightInd w:val="0"/>
              <w:snapToGrid w:val="0"/>
              <w:spacing w:line="360" w:lineRule="auto"/>
              <w:ind w:firstLine="480"/>
              <w:jc w:val="center"/>
              <w:rPr>
                <w:rFonts w:hint="eastAsia" w:ascii="宋体" w:hAnsi="宋体" w:eastAsia="宋体" w:cs="宋体"/>
                <w:kern w:val="0"/>
                <w:sz w:val="24"/>
                <w:szCs w:val="24"/>
              </w:rPr>
            </w:pPr>
          </w:p>
        </w:tc>
      </w:tr>
      <w:tr w14:paraId="226BF753">
        <w:tblPrEx>
          <w:tblCellMar>
            <w:top w:w="0" w:type="dxa"/>
            <w:left w:w="0" w:type="dxa"/>
            <w:bottom w:w="0" w:type="dxa"/>
            <w:right w:w="0" w:type="dxa"/>
          </w:tblCellMar>
        </w:tblPrEx>
        <w:trPr>
          <w:trHeight w:val="547" w:hRule="atLeast"/>
          <w:jc w:val="center"/>
        </w:trPr>
        <w:tc>
          <w:tcPr>
            <w:tcW w:w="467" w:type="pct"/>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14:paraId="442771B2">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804" w:type="pct"/>
            <w:tcBorders>
              <w:top w:val="nil"/>
              <w:left w:val="nil"/>
              <w:bottom w:val="single" w:color="auto" w:sz="8" w:space="0"/>
              <w:right w:val="single" w:color="auto" w:sz="8" w:space="0"/>
            </w:tcBorders>
            <w:noWrap/>
            <w:tcMar>
              <w:top w:w="0" w:type="dxa"/>
              <w:left w:w="108" w:type="dxa"/>
              <w:bottom w:w="0" w:type="dxa"/>
              <w:right w:w="108" w:type="dxa"/>
            </w:tcMar>
            <w:vAlign w:val="center"/>
          </w:tcPr>
          <w:p w14:paraId="38419A06">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缠绕膜</w:t>
            </w:r>
          </w:p>
        </w:tc>
        <w:tc>
          <w:tcPr>
            <w:tcW w:w="1052" w:type="pct"/>
            <w:tcBorders>
              <w:top w:val="nil"/>
              <w:left w:val="nil"/>
              <w:bottom w:val="single" w:color="auto" w:sz="8" w:space="0"/>
              <w:right w:val="single" w:color="auto" w:sz="8" w:space="0"/>
            </w:tcBorders>
            <w:noWrap/>
            <w:tcMar>
              <w:top w:w="0" w:type="dxa"/>
              <w:left w:w="108" w:type="dxa"/>
              <w:bottom w:w="0" w:type="dxa"/>
              <w:right w:w="108" w:type="dxa"/>
            </w:tcMar>
            <w:vAlign w:val="center"/>
          </w:tcPr>
          <w:p w14:paraId="47BEA249">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11.30元/公斤</w:t>
            </w:r>
          </w:p>
        </w:tc>
        <w:tc>
          <w:tcPr>
            <w:tcW w:w="357" w:type="pct"/>
            <w:vMerge w:val="continue"/>
            <w:tcBorders>
              <w:top w:val="nil"/>
              <w:left w:val="nil"/>
              <w:bottom w:val="single" w:color="auto" w:sz="8" w:space="0"/>
              <w:right w:val="single" w:color="auto" w:sz="8" w:space="0"/>
            </w:tcBorders>
            <w:vAlign w:val="center"/>
          </w:tcPr>
          <w:p w14:paraId="776496A5">
            <w:pPr>
              <w:widowControl/>
              <w:adjustRightInd w:val="0"/>
              <w:snapToGrid w:val="0"/>
              <w:spacing w:line="360" w:lineRule="auto"/>
              <w:jc w:val="center"/>
              <w:rPr>
                <w:rFonts w:ascii="宋体" w:hAnsi="宋体" w:eastAsia="宋体" w:cs="宋体"/>
                <w:kern w:val="0"/>
                <w:sz w:val="24"/>
                <w:szCs w:val="24"/>
              </w:rPr>
            </w:pPr>
          </w:p>
        </w:tc>
        <w:tc>
          <w:tcPr>
            <w:tcW w:w="553" w:type="pct"/>
            <w:vMerge w:val="continue"/>
            <w:tcBorders>
              <w:top w:val="nil"/>
              <w:left w:val="nil"/>
              <w:bottom w:val="single" w:color="auto" w:sz="8" w:space="0"/>
              <w:right w:val="single" w:color="auto" w:sz="8" w:space="0"/>
            </w:tcBorders>
            <w:vAlign w:val="center"/>
          </w:tcPr>
          <w:p w14:paraId="68F426C2">
            <w:pPr>
              <w:widowControl/>
              <w:adjustRightInd w:val="0"/>
              <w:snapToGrid w:val="0"/>
              <w:spacing w:line="360" w:lineRule="auto"/>
              <w:jc w:val="center"/>
              <w:rPr>
                <w:rFonts w:ascii="宋体" w:hAnsi="宋体" w:eastAsia="宋体" w:cs="宋体"/>
                <w:kern w:val="0"/>
                <w:sz w:val="24"/>
                <w:szCs w:val="24"/>
              </w:rPr>
            </w:pPr>
          </w:p>
        </w:tc>
        <w:tc>
          <w:tcPr>
            <w:tcW w:w="0" w:type="auto"/>
            <w:vMerge w:val="continue"/>
            <w:tcBorders>
              <w:top w:val="nil"/>
              <w:left w:val="nil"/>
              <w:bottom w:val="single" w:color="auto" w:sz="8" w:space="0"/>
              <w:right w:val="single" w:color="auto" w:sz="8" w:space="0"/>
            </w:tcBorders>
            <w:vAlign w:val="center"/>
          </w:tcPr>
          <w:p w14:paraId="797FD330">
            <w:pPr>
              <w:widowControl/>
              <w:adjustRightInd w:val="0"/>
              <w:snapToGrid w:val="0"/>
              <w:spacing w:line="360" w:lineRule="auto"/>
              <w:jc w:val="center"/>
              <w:rPr>
                <w:rFonts w:ascii="宋体" w:hAnsi="宋体" w:eastAsia="宋体" w:cs="宋体"/>
                <w:kern w:val="0"/>
                <w:sz w:val="24"/>
                <w:szCs w:val="24"/>
              </w:rPr>
            </w:pPr>
          </w:p>
        </w:tc>
        <w:tc>
          <w:tcPr>
            <w:tcW w:w="383" w:type="pct"/>
            <w:tcBorders>
              <w:top w:val="nil"/>
              <w:left w:val="nil"/>
              <w:bottom w:val="single" w:color="auto" w:sz="8" w:space="0"/>
              <w:right w:val="single" w:color="auto" w:sz="8" w:space="0"/>
            </w:tcBorders>
            <w:tcMar>
              <w:top w:w="0" w:type="dxa"/>
              <w:left w:w="108" w:type="dxa"/>
              <w:bottom w:w="0" w:type="dxa"/>
              <w:right w:w="108" w:type="dxa"/>
            </w:tcMar>
            <w:vAlign w:val="center"/>
          </w:tcPr>
          <w:p w14:paraId="37D5DC2A">
            <w:pPr>
              <w:widowControl/>
              <w:adjustRightInd w:val="0"/>
              <w:snapToGrid w:val="0"/>
              <w:spacing w:line="360" w:lineRule="auto"/>
              <w:ind w:firstLine="480"/>
              <w:jc w:val="center"/>
              <w:rPr>
                <w:rFonts w:hint="eastAsia" w:ascii="宋体" w:hAnsi="宋体" w:eastAsia="宋体" w:cs="宋体"/>
                <w:kern w:val="0"/>
                <w:sz w:val="24"/>
                <w:szCs w:val="24"/>
              </w:rPr>
            </w:pPr>
          </w:p>
        </w:tc>
      </w:tr>
      <w:tr w14:paraId="3556241E">
        <w:tblPrEx>
          <w:tblCellMar>
            <w:top w:w="0" w:type="dxa"/>
            <w:left w:w="0" w:type="dxa"/>
            <w:bottom w:w="0" w:type="dxa"/>
            <w:right w:w="0" w:type="dxa"/>
          </w:tblCellMar>
        </w:tblPrEx>
        <w:trPr>
          <w:trHeight w:val="547" w:hRule="atLeast"/>
          <w:jc w:val="center"/>
        </w:trPr>
        <w:tc>
          <w:tcPr>
            <w:tcW w:w="5000" w:type="pct"/>
            <w:gridSpan w:val="7"/>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14:paraId="22FBEA3E">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注：“中标权重”是中标单位供货量占供货期限内（从所有供应商具备供货条件时算起）实际采购量的百分比。</w:t>
            </w:r>
          </w:p>
        </w:tc>
      </w:tr>
    </w:tbl>
    <w:p w14:paraId="44B45356">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5.中标候选人中标品名汇总表</w:t>
      </w:r>
    </w:p>
    <w:tbl>
      <w:tblPr>
        <w:tblStyle w:val="14"/>
        <w:tblW w:w="4950" w:type="pct"/>
        <w:jc w:val="center"/>
        <w:tblLayout w:type="autofit"/>
        <w:tblCellMar>
          <w:top w:w="0" w:type="dxa"/>
          <w:left w:w="0" w:type="dxa"/>
          <w:bottom w:w="0" w:type="dxa"/>
          <w:right w:w="0" w:type="dxa"/>
        </w:tblCellMar>
      </w:tblPr>
      <w:tblGrid>
        <w:gridCol w:w="2071"/>
        <w:gridCol w:w="2856"/>
        <w:gridCol w:w="2856"/>
        <w:gridCol w:w="1972"/>
      </w:tblGrid>
      <w:tr w14:paraId="7E4AD2B1">
        <w:tblPrEx>
          <w:tblCellMar>
            <w:top w:w="0" w:type="dxa"/>
            <w:left w:w="0" w:type="dxa"/>
            <w:bottom w:w="0" w:type="dxa"/>
            <w:right w:w="0" w:type="dxa"/>
          </w:tblCellMar>
        </w:tblPrEx>
        <w:trPr>
          <w:trHeight w:val="380" w:hRule="atLeast"/>
          <w:jc w:val="center"/>
        </w:trPr>
        <w:tc>
          <w:tcPr>
            <w:tcW w:w="1400" w:type="pct"/>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54EDEC2C">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排名顺序</w:t>
            </w:r>
          </w:p>
        </w:tc>
        <w:tc>
          <w:tcPr>
            <w:tcW w:w="1100"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468A3D55">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蒙昆自用塑料袋（700mm*480mm*1200mm）</w:t>
            </w:r>
          </w:p>
        </w:tc>
        <w:tc>
          <w:tcPr>
            <w:tcW w:w="1050"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405FCE8E">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蒙昆自用塑料袋（860mm*490mm*1180mm）</w:t>
            </w:r>
          </w:p>
        </w:tc>
        <w:tc>
          <w:tcPr>
            <w:tcW w:w="1350"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3683EDE9">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缠绕膜</w:t>
            </w:r>
          </w:p>
        </w:tc>
      </w:tr>
      <w:tr w14:paraId="16AD0EAF">
        <w:tblPrEx>
          <w:tblCellMar>
            <w:top w:w="0" w:type="dxa"/>
            <w:left w:w="0" w:type="dxa"/>
            <w:bottom w:w="0" w:type="dxa"/>
            <w:right w:w="0" w:type="dxa"/>
          </w:tblCellMar>
        </w:tblPrEx>
        <w:trPr>
          <w:trHeight w:val="380" w:hRule="atLeast"/>
          <w:jc w:val="center"/>
        </w:trPr>
        <w:tc>
          <w:tcPr>
            <w:tcW w:w="1400" w:type="pct"/>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1781C258">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第一中标候选人</w:t>
            </w:r>
          </w:p>
        </w:tc>
        <w:tc>
          <w:tcPr>
            <w:tcW w:w="1100" w:type="pct"/>
            <w:tcBorders>
              <w:top w:val="nil"/>
              <w:left w:val="nil"/>
              <w:bottom w:val="single" w:color="auto" w:sz="8" w:space="0"/>
              <w:right w:val="single" w:color="auto" w:sz="8" w:space="0"/>
            </w:tcBorders>
            <w:tcMar>
              <w:top w:w="0" w:type="dxa"/>
              <w:left w:w="108" w:type="dxa"/>
              <w:bottom w:w="0" w:type="dxa"/>
              <w:right w:w="108" w:type="dxa"/>
            </w:tcMar>
            <w:vAlign w:val="center"/>
          </w:tcPr>
          <w:p w14:paraId="68096F20">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中标权重100%</w:t>
            </w:r>
          </w:p>
        </w:tc>
        <w:tc>
          <w:tcPr>
            <w:tcW w:w="2856" w:type="dxa"/>
            <w:tcBorders>
              <w:top w:val="nil"/>
              <w:left w:val="nil"/>
              <w:bottom w:val="single" w:color="auto" w:sz="8" w:space="0"/>
              <w:right w:val="single" w:color="auto" w:sz="8" w:space="0"/>
            </w:tcBorders>
            <w:tcMar>
              <w:top w:w="0" w:type="dxa"/>
              <w:left w:w="108" w:type="dxa"/>
              <w:bottom w:w="0" w:type="dxa"/>
              <w:right w:w="108" w:type="dxa"/>
            </w:tcMar>
            <w:vAlign w:val="center"/>
          </w:tcPr>
          <w:p w14:paraId="4CF91191">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中标权重100%</w:t>
            </w:r>
          </w:p>
        </w:tc>
        <w:tc>
          <w:tcPr>
            <w:tcW w:w="1986" w:type="dxa"/>
            <w:tcBorders>
              <w:top w:val="nil"/>
              <w:left w:val="nil"/>
              <w:bottom w:val="single" w:color="auto" w:sz="8" w:space="0"/>
              <w:right w:val="single" w:color="auto" w:sz="8" w:space="0"/>
            </w:tcBorders>
            <w:tcMar>
              <w:top w:w="0" w:type="dxa"/>
              <w:left w:w="108" w:type="dxa"/>
              <w:bottom w:w="0" w:type="dxa"/>
              <w:right w:w="108" w:type="dxa"/>
            </w:tcMar>
            <w:vAlign w:val="center"/>
          </w:tcPr>
          <w:p w14:paraId="0A23B395">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中标权重100%</w:t>
            </w:r>
          </w:p>
        </w:tc>
      </w:tr>
      <w:tr w14:paraId="030C9169">
        <w:trPr>
          <w:trHeight w:val="380" w:hRule="atLeast"/>
          <w:jc w:val="center"/>
        </w:trPr>
        <w:tc>
          <w:tcPr>
            <w:tcW w:w="1400" w:type="pct"/>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081901DB">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第二中标候选人</w:t>
            </w:r>
          </w:p>
        </w:tc>
        <w:tc>
          <w:tcPr>
            <w:tcW w:w="1100" w:type="pct"/>
            <w:tcBorders>
              <w:top w:val="nil"/>
              <w:left w:val="nil"/>
              <w:bottom w:val="single" w:color="auto" w:sz="8" w:space="0"/>
              <w:right w:val="single" w:color="auto" w:sz="8" w:space="0"/>
            </w:tcBorders>
            <w:tcMar>
              <w:top w:w="0" w:type="dxa"/>
              <w:left w:w="108" w:type="dxa"/>
              <w:bottom w:w="0" w:type="dxa"/>
              <w:right w:w="108" w:type="dxa"/>
            </w:tcMar>
            <w:vAlign w:val="center"/>
          </w:tcPr>
          <w:p w14:paraId="4268DD77">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备选供应商</w:t>
            </w:r>
          </w:p>
        </w:tc>
        <w:tc>
          <w:tcPr>
            <w:tcW w:w="2856" w:type="dxa"/>
            <w:tcBorders>
              <w:top w:val="nil"/>
              <w:left w:val="nil"/>
              <w:bottom w:val="single" w:color="auto" w:sz="8" w:space="0"/>
              <w:right w:val="single" w:color="auto" w:sz="8" w:space="0"/>
            </w:tcBorders>
            <w:tcMar>
              <w:top w:w="0" w:type="dxa"/>
              <w:left w:w="108" w:type="dxa"/>
              <w:bottom w:w="0" w:type="dxa"/>
              <w:right w:w="108" w:type="dxa"/>
            </w:tcMar>
            <w:vAlign w:val="center"/>
          </w:tcPr>
          <w:p w14:paraId="4C04ECD4">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备选供应商</w:t>
            </w:r>
          </w:p>
        </w:tc>
        <w:tc>
          <w:tcPr>
            <w:tcW w:w="1986" w:type="dxa"/>
            <w:tcBorders>
              <w:top w:val="nil"/>
              <w:left w:val="nil"/>
              <w:bottom w:val="single" w:color="auto" w:sz="8" w:space="0"/>
              <w:right w:val="single" w:color="auto" w:sz="8" w:space="0"/>
            </w:tcBorders>
            <w:tcMar>
              <w:top w:w="0" w:type="dxa"/>
              <w:left w:w="108" w:type="dxa"/>
              <w:bottom w:w="0" w:type="dxa"/>
              <w:right w:w="108" w:type="dxa"/>
            </w:tcMar>
            <w:vAlign w:val="center"/>
          </w:tcPr>
          <w:p w14:paraId="73FE6F9B">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备选供应商</w:t>
            </w:r>
          </w:p>
        </w:tc>
      </w:tr>
    </w:tbl>
    <w:p w14:paraId="1433259D">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6.招标人按照评标委员会提出的中标候选人名单排序确定中标人及备选供应商。招标人与备选供应商均签订备选合同。中标人具体供货量以订单为准，供货期内不保证备选供应商的供货量。</w:t>
      </w:r>
    </w:p>
    <w:p w14:paraId="0936C1EC">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7.中标人在履约过程中出现违约行为（含列入黑名单行为）或其他原因导致合同解除的，招标人有权启用备选供应商进行供货或组织重新招标，如启用备选供应商须经招标人内部程序审批确定后书面告知备选供应商。现有的中选供应商和备选供应商的中标权重则按照该项目中标权重依次递补。</w:t>
      </w:r>
    </w:p>
    <w:p w14:paraId="14BA2299">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8.中标人及备选供应商在本次招标供货期限内均应按统一单价进行供货，供货地点由招标人统一安排。</w:t>
      </w:r>
    </w:p>
    <w:p w14:paraId="43CE1356">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9.若市场发生变化、品牌整合及其它不可抗因素导致供货期限内实际采购量无法完成时，招标人将在中标人供货品种内进行调整；当招标人无法调整时，投标人不得向招标人要求任何形式的赔偿或补偿。投标人在投标文件中必须对本条款要求作出响应性承诺，否则作否决投标处理。</w:t>
      </w:r>
    </w:p>
    <w:p w14:paraId="53C89638">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10.在本项目招标周期内，如某品名招标货物改版或增加新的版本，但其制作工艺、材质、用料标准等方面未发生变化时，仍由该品名供货供应商试验通过后供应，不另行招标；采购周期内，如采购货物在材质及工艺等方面有较大调整，或者招标货物的技术标准发生较大改变，需要调整价格的，招标人可根据实际情况重新组织招标。</w:t>
      </w:r>
    </w:p>
    <w:p w14:paraId="5137C33A">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（二）标书费汇至如下账户：</w:t>
      </w:r>
    </w:p>
    <w:p w14:paraId="63495C96">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收款单位：内蒙古中实工程招标咨询有限责任公司</w:t>
      </w:r>
    </w:p>
    <w:p w14:paraId="1071E280">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开户银行：招商银行呼和浩特巨海城支行</w:t>
      </w:r>
    </w:p>
    <w:p w14:paraId="7C0B1393">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账号：47190001411032518030001</w:t>
      </w:r>
    </w:p>
    <w:p w14:paraId="4FFAEEC1">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行号：308191036122</w:t>
      </w:r>
    </w:p>
    <w:p w14:paraId="68A641CB">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备注：汇款凭证的用途栏或空白处应注明“2026—2027年烟用材料采购项目—（第十三标包）其他烟用材料标书费”。</w:t>
      </w:r>
    </w:p>
    <w:p w14:paraId="4D370739">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（三）招标公告发布媒介</w:t>
      </w:r>
    </w:p>
    <w:p w14:paraId="531D06EC">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中国招标投标公共服务平台（</w:t>
      </w:r>
      <w:r>
        <w:fldChar w:fldCharType="begin"/>
      </w:r>
      <w:r>
        <w:instrText xml:space="preserve"> HYPERLINK "http://www.cebpubservice.com/" </w:instrText>
      </w:r>
      <w:r>
        <w:fldChar w:fldCharType="separate"/>
      </w:r>
      <w:r>
        <w:rPr>
          <w:rFonts w:hint="eastAsia" w:ascii="宋体" w:hAnsi="宋体" w:eastAsia="宋体" w:cs="宋体"/>
          <w:kern w:val="0"/>
          <w:sz w:val="24"/>
          <w:szCs w:val="24"/>
          <w:u w:val="single"/>
        </w:rPr>
        <w:t>http://www.cebpubservice.com</w:t>
      </w:r>
      <w:r>
        <w:rPr>
          <w:rFonts w:hint="eastAsia" w:ascii="宋体" w:hAnsi="宋体" w:eastAsia="宋体" w:cs="宋体"/>
          <w:kern w:val="0"/>
          <w:sz w:val="24"/>
          <w:szCs w:val="24"/>
          <w:u w:val="single"/>
        </w:rPr>
        <w:fldChar w:fldCharType="end"/>
      </w:r>
      <w:r>
        <w:rPr>
          <w:rFonts w:hint="eastAsia" w:ascii="宋体" w:hAnsi="宋体" w:eastAsia="宋体" w:cs="宋体"/>
          <w:kern w:val="0"/>
          <w:sz w:val="24"/>
          <w:szCs w:val="24"/>
        </w:rPr>
        <w:t>）</w:t>
      </w:r>
    </w:p>
    <w:p w14:paraId="1B9F772F">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内蒙古招标投标公共服务平台（</w:t>
      </w:r>
      <w:r>
        <w:fldChar w:fldCharType="begin"/>
      </w:r>
      <w:r>
        <w:instrText xml:space="preserve"> HYPERLINK "http://zbgg.nmgztb.com.cn/" </w:instrText>
      </w:r>
      <w:r>
        <w:fldChar w:fldCharType="separate"/>
      </w:r>
      <w:r>
        <w:rPr>
          <w:rFonts w:hint="eastAsia" w:ascii="宋体" w:hAnsi="宋体" w:eastAsia="宋体" w:cs="宋体"/>
          <w:kern w:val="0"/>
          <w:sz w:val="24"/>
          <w:szCs w:val="24"/>
          <w:u w:val="single"/>
        </w:rPr>
        <w:t>http://zbgg.nmgztb.com.cn/</w:t>
      </w:r>
      <w:r>
        <w:rPr>
          <w:rFonts w:hint="eastAsia" w:ascii="宋体" w:hAnsi="宋体" w:eastAsia="宋体" w:cs="宋体"/>
          <w:kern w:val="0"/>
          <w:sz w:val="24"/>
          <w:szCs w:val="24"/>
          <w:u w:val="single"/>
        </w:rPr>
        <w:fldChar w:fldCharType="end"/>
      </w:r>
      <w:r>
        <w:rPr>
          <w:rFonts w:hint="eastAsia" w:ascii="宋体" w:hAnsi="宋体" w:eastAsia="宋体" w:cs="宋体"/>
          <w:kern w:val="0"/>
          <w:sz w:val="24"/>
          <w:szCs w:val="24"/>
        </w:rPr>
        <w:t>）</w:t>
      </w:r>
    </w:p>
    <w:p w14:paraId="4FAC0BAF">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中烟电子采购平台（</w:t>
      </w:r>
      <w:r>
        <w:fldChar w:fldCharType="begin"/>
      </w:r>
      <w:r>
        <w:instrText xml:space="preserve"> HYPERLINK "http://cgjy.tobacco.com.cn/" </w:instrText>
      </w:r>
      <w:r>
        <w:fldChar w:fldCharType="separate"/>
      </w:r>
      <w:r>
        <w:rPr>
          <w:rFonts w:hint="eastAsia" w:ascii="宋体" w:hAnsi="宋体" w:eastAsia="宋体" w:cs="宋体"/>
          <w:kern w:val="0"/>
          <w:sz w:val="24"/>
          <w:szCs w:val="24"/>
          <w:u w:val="single"/>
        </w:rPr>
        <w:t>http://cgjy.tobacco.com.cn</w:t>
      </w:r>
      <w:r>
        <w:rPr>
          <w:rFonts w:hint="eastAsia" w:ascii="宋体" w:hAnsi="宋体" w:eastAsia="宋体" w:cs="宋体"/>
          <w:kern w:val="0"/>
          <w:sz w:val="24"/>
          <w:szCs w:val="24"/>
          <w:u w:val="single"/>
        </w:rPr>
        <w:fldChar w:fldCharType="end"/>
      </w:r>
      <w:r>
        <w:rPr>
          <w:rFonts w:hint="eastAsia" w:ascii="宋体" w:hAnsi="宋体" w:eastAsia="宋体" w:cs="宋体"/>
          <w:kern w:val="0"/>
          <w:sz w:val="24"/>
          <w:szCs w:val="24"/>
        </w:rPr>
        <w:t>）</w:t>
      </w:r>
    </w:p>
    <w:p w14:paraId="1649089A">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中国烟草物资电子商务网（</w:t>
      </w:r>
      <w:r>
        <w:fldChar w:fldCharType="begin"/>
      </w:r>
      <w:r>
        <w:instrText xml:space="preserve"> HYPERLINK "https://wzw.tobacco.com.cn/" </w:instrText>
      </w:r>
      <w:r>
        <w:fldChar w:fldCharType="separate"/>
      </w:r>
      <w:r>
        <w:rPr>
          <w:rFonts w:hint="eastAsia" w:ascii="宋体" w:hAnsi="宋体" w:eastAsia="宋体" w:cs="宋体"/>
          <w:kern w:val="0"/>
          <w:sz w:val="24"/>
          <w:szCs w:val="24"/>
          <w:u w:val="single"/>
        </w:rPr>
        <w:t>https://wzw.tobacco.com.cn/</w:t>
      </w:r>
      <w:r>
        <w:rPr>
          <w:rFonts w:hint="eastAsia" w:ascii="宋体" w:hAnsi="宋体" w:eastAsia="宋体" w:cs="宋体"/>
          <w:kern w:val="0"/>
          <w:sz w:val="24"/>
          <w:szCs w:val="24"/>
          <w:u w:val="single"/>
        </w:rPr>
        <w:fldChar w:fldCharType="end"/>
      </w:r>
      <w:r>
        <w:rPr>
          <w:rFonts w:hint="eastAsia" w:ascii="宋体" w:hAnsi="宋体" w:eastAsia="宋体" w:cs="宋体"/>
          <w:kern w:val="0"/>
          <w:sz w:val="24"/>
          <w:szCs w:val="24"/>
        </w:rPr>
        <w:t>）</w:t>
      </w:r>
    </w:p>
    <w:p w14:paraId="0ADBAF20">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内蒙古昆明卷烟有限责任公司（</w:t>
      </w:r>
      <w:r>
        <w:fldChar w:fldCharType="begin"/>
      </w:r>
      <w:r>
        <w:instrText xml:space="preserve"> HYPERLINK "http://bid.tobacco.com.cn/" </w:instrText>
      </w:r>
      <w:r>
        <w:fldChar w:fldCharType="separate"/>
      </w:r>
      <w:r>
        <w:rPr>
          <w:rFonts w:hint="eastAsia" w:ascii="宋体" w:hAnsi="宋体" w:eastAsia="宋体" w:cs="宋体"/>
          <w:kern w:val="0"/>
          <w:sz w:val="24"/>
          <w:szCs w:val="24"/>
          <w:u w:val="single"/>
        </w:rPr>
        <w:t>http://</w:t>
      </w:r>
      <w:r>
        <w:rPr>
          <w:rFonts w:hint="eastAsia" w:ascii="宋体" w:hAnsi="宋体" w:eastAsia="宋体" w:cs="宋体"/>
          <w:kern w:val="0"/>
          <w:sz w:val="24"/>
          <w:szCs w:val="24"/>
          <w:u w:val="single"/>
        </w:rPr>
        <w:fldChar w:fldCharType="end"/>
      </w:r>
      <w:r>
        <w:rPr>
          <w:rFonts w:hint="eastAsia" w:ascii="宋体" w:hAnsi="宋体" w:eastAsia="宋体" w:cs="宋体"/>
          <w:kern w:val="0"/>
          <w:sz w:val="24"/>
          <w:szCs w:val="24"/>
        </w:rPr>
        <w:t>www.imkcc.com）</w:t>
      </w:r>
    </w:p>
    <w:p w14:paraId="28DA146D">
      <w:pPr>
        <w:widowControl/>
        <w:adjustRightInd w:val="0"/>
        <w:snapToGrid w:val="0"/>
        <w:spacing w:line="360" w:lineRule="auto"/>
        <w:jc w:val="left"/>
        <w:outlineLvl w:val="4"/>
        <w:rPr>
          <w:rFonts w:hint="eastAsia" w:ascii="宋体" w:hAnsi="宋体" w:eastAsia="宋体" w:cs="宋体"/>
          <w:b/>
          <w:bCs/>
          <w:kern w:val="0"/>
          <w:sz w:val="24"/>
          <w:szCs w:val="24"/>
        </w:rPr>
      </w:pPr>
      <w:r>
        <w:rPr>
          <w:rFonts w:ascii="宋体" w:hAnsi="宋体" w:eastAsia="宋体" w:cs="宋体"/>
          <w:b/>
          <w:bCs/>
          <w:kern w:val="0"/>
          <w:sz w:val="24"/>
          <w:szCs w:val="24"/>
        </w:rPr>
        <w:t>八、监督部门</w:t>
      </w:r>
    </w:p>
    <w:p w14:paraId="514E5D1B">
      <w:pPr>
        <w:widowControl/>
        <w:adjustRightInd w:val="0"/>
        <w:snapToGrid w:val="0"/>
        <w:spacing w:line="360" w:lineRule="auto"/>
        <w:ind w:firstLine="480"/>
        <w:jc w:val="left"/>
        <w:rPr>
          <w:rFonts w:ascii="宋体" w:hAnsi="宋体" w:eastAsia="宋体" w:cs="宋体"/>
          <w:kern w:val="0"/>
          <w:sz w:val="24"/>
          <w:szCs w:val="24"/>
        </w:rPr>
      </w:pPr>
      <w:r>
        <w:rPr>
          <w:rFonts w:hint="eastAsia" w:ascii="宋体" w:hAnsi="宋体" w:eastAsia="宋体" w:cs="宋体"/>
          <w:kern w:val="0"/>
          <w:sz w:val="24"/>
          <w:szCs w:val="24"/>
        </w:rPr>
        <w:t>本招标项目的监督部门为规范管理部。</w:t>
      </w:r>
    </w:p>
    <w:p w14:paraId="4656C7E6">
      <w:pPr>
        <w:widowControl/>
        <w:adjustRightInd w:val="0"/>
        <w:snapToGrid w:val="0"/>
        <w:spacing w:line="360" w:lineRule="auto"/>
        <w:jc w:val="left"/>
        <w:outlineLvl w:val="4"/>
        <w:rPr>
          <w:rFonts w:hint="eastAsia" w:ascii="宋体" w:hAnsi="宋体" w:eastAsia="宋体" w:cs="宋体"/>
          <w:b/>
          <w:bCs/>
          <w:kern w:val="0"/>
          <w:sz w:val="24"/>
          <w:szCs w:val="24"/>
        </w:rPr>
      </w:pPr>
      <w:r>
        <w:rPr>
          <w:rFonts w:ascii="宋体" w:hAnsi="宋体" w:eastAsia="宋体" w:cs="宋体"/>
          <w:b/>
          <w:bCs/>
          <w:kern w:val="0"/>
          <w:sz w:val="24"/>
          <w:szCs w:val="24"/>
        </w:rPr>
        <w:t>九、联系方式</w:t>
      </w:r>
    </w:p>
    <w:p w14:paraId="0A3F9C66">
      <w:pPr>
        <w:widowControl/>
        <w:adjustRightInd w:val="0"/>
        <w:snapToGrid w:val="0"/>
        <w:spacing w:line="360" w:lineRule="auto"/>
        <w:ind w:firstLine="480"/>
        <w:jc w:val="left"/>
        <w:rPr>
          <w:rFonts w:ascii="宋体" w:hAnsi="宋体" w:eastAsia="宋体" w:cs="宋体"/>
          <w:kern w:val="0"/>
          <w:sz w:val="24"/>
          <w:szCs w:val="24"/>
        </w:rPr>
      </w:pPr>
      <w:r>
        <w:rPr>
          <w:rFonts w:hint="eastAsia" w:ascii="宋体" w:hAnsi="宋体" w:eastAsia="宋体" w:cs="宋体"/>
          <w:kern w:val="0"/>
          <w:sz w:val="24"/>
          <w:szCs w:val="24"/>
        </w:rPr>
        <w:t>招标人：内蒙古昆明卷烟有限责任公司</w:t>
      </w:r>
    </w:p>
    <w:p w14:paraId="455FA05D">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地址：内蒙古自治区呼和浩特市赛罕区达尔登北路19号</w:t>
      </w:r>
    </w:p>
    <w:p w14:paraId="0097E92E">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联系人：张敏</w:t>
      </w:r>
    </w:p>
    <w:p w14:paraId="5ED93192">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电话：0471-4348706</w:t>
      </w:r>
    </w:p>
    <w:p w14:paraId="4D4FA028">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电子邮件：/</w:t>
      </w:r>
    </w:p>
    <w:p w14:paraId="02BFF5FA">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招标代理机构：内蒙古中实工程招标咨询有限责任公司</w:t>
      </w:r>
    </w:p>
    <w:p w14:paraId="194C2A53">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地址：内蒙古自治区呼和浩特市赛罕区鄂尔多斯东街12号银联大厦10层</w:t>
      </w:r>
    </w:p>
    <w:p w14:paraId="1A0075F8">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联系人：张晓宇 高星冰 周宇峰</w:t>
      </w:r>
    </w:p>
    <w:p w14:paraId="1EBA5DF9">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电话：0471-5223622</w:t>
      </w:r>
    </w:p>
    <w:p w14:paraId="6EB3D9BE">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电子邮件：zszbsfgs@126.com</w:t>
      </w:r>
    </w:p>
    <w:p w14:paraId="45127239">
      <w:pPr>
        <w:rPr>
          <w:rFonts w:ascii="宋体" w:hAnsi="宋体" w:eastAsia="宋体"/>
          <w:sz w:val="24"/>
          <w:szCs w:val="24"/>
        </w:rPr>
      </w:pPr>
    </w:p>
    <w:sectPr>
      <w:pgSz w:w="11906" w:h="16838"/>
      <w:pgMar w:top="1134" w:right="1134" w:bottom="1134" w:left="1134"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Arial Unicode MS">
    <w:altName w:val="宋体"/>
    <w:panose1 w:val="020B0604020202020204"/>
    <w:charset w:val="86"/>
    <w:family w:val="swiss"/>
    <w:pitch w:val="default"/>
    <w:sig w:usb0="00000000" w:usb1="00000000" w:usb2="0000003F" w:usb3="00000000" w:csb0="603F01FF" w:csb1="FFFF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等线 Light">
    <w:altName w:val="宋体"/>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6D6"/>
    <w:rsid w:val="00152CB3"/>
    <w:rsid w:val="002376D6"/>
    <w:rsid w:val="00253464"/>
    <w:rsid w:val="003261FC"/>
    <w:rsid w:val="00434469"/>
    <w:rsid w:val="00495561"/>
    <w:rsid w:val="00787A5A"/>
    <w:rsid w:val="00915959"/>
    <w:rsid w:val="00DE1DF6"/>
    <w:rsid w:val="08A92A46"/>
    <w:rsid w:val="78E039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0" w:line="240" w:lineRule="auto"/>
      <w:jc w:val="both"/>
    </w:pPr>
    <w:rPr>
      <w:rFonts w:asciiTheme="minorHAnsi" w:hAnsiTheme="minorHAnsi" w:eastAsiaTheme="minorEastAsia" w:cstheme="minorBidi"/>
      <w:kern w:val="2"/>
      <w:sz w:val="21"/>
      <w:szCs w:val="22"/>
      <w:lang w:val="en-US" w:eastAsia="zh-CN" w:bidi="ar-SA"/>
      <w14:ligatures w14:val="none"/>
    </w:rPr>
  </w:style>
  <w:style w:type="paragraph" w:styleId="2">
    <w:name w:val="heading 1"/>
    <w:basedOn w:val="1"/>
    <w:next w:val="1"/>
    <w:link w:val="18"/>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19"/>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20"/>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21"/>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2"/>
    <w:semiHidden/>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23"/>
    <w:semiHidden/>
    <w:unhideWhenUsed/>
    <w:qFormat/>
    <w:uiPriority w:val="9"/>
    <w:pPr>
      <w:keepNext/>
      <w:keepLines/>
      <w:spacing w:before="40"/>
      <w:outlineLvl w:val="5"/>
    </w:pPr>
    <w:rPr>
      <w:rFonts w:cstheme="majorBidi"/>
      <w:b/>
      <w:bCs/>
      <w:color w:val="2F5597" w:themeColor="accent1" w:themeShade="BF"/>
    </w:rPr>
  </w:style>
  <w:style w:type="paragraph" w:styleId="8">
    <w:name w:val="heading 7"/>
    <w:basedOn w:val="1"/>
    <w:next w:val="1"/>
    <w:link w:val="24"/>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5"/>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6"/>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6">
    <w:name w:val="Default Paragraph Font"/>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11">
    <w:name w:val="Subtitle"/>
    <w:basedOn w:val="1"/>
    <w:next w:val="1"/>
    <w:link w:val="28"/>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2">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styleId="13">
    <w:name w:val="Title"/>
    <w:basedOn w:val="1"/>
    <w:next w:val="1"/>
    <w:link w:val="27"/>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5">
    <w:name w:val="Table Grid"/>
    <w:basedOn w:val="14"/>
    <w:qFormat/>
    <w:uiPriority w:val="0"/>
    <w:pPr>
      <w:widowControl w:val="0"/>
      <w:spacing w:after="0" w:line="240" w:lineRule="auto"/>
      <w:jc w:val="both"/>
    </w:pPr>
    <w:rPr>
      <w:rFonts w:ascii="Times New Roman" w:hAnsi="Times New Roman" w:eastAsia="宋体"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unhideWhenUsed/>
    <w:uiPriority w:val="99"/>
    <w:rPr>
      <w:color w:val="0563C1" w:themeColor="hyperlink"/>
      <w:u w:val="single"/>
      <w14:textFill>
        <w14:solidFill>
          <w14:schemeClr w14:val="hlink"/>
        </w14:solidFill>
      </w14:textFill>
    </w:rPr>
  </w:style>
  <w:style w:type="character" w:customStyle="1" w:styleId="18">
    <w:name w:val="标题 1 字符"/>
    <w:basedOn w:val="16"/>
    <w:link w:val="2"/>
    <w:qFormat/>
    <w:uiPriority w:val="9"/>
    <w:rPr>
      <w:rFonts w:asciiTheme="majorHAnsi" w:hAnsiTheme="majorHAnsi" w:eastAsiaTheme="majorEastAsia" w:cstheme="majorBidi"/>
      <w:color w:val="2F5597" w:themeColor="accent1" w:themeShade="BF"/>
      <w:sz w:val="48"/>
      <w:szCs w:val="48"/>
    </w:rPr>
  </w:style>
  <w:style w:type="character" w:customStyle="1" w:styleId="19">
    <w:name w:val="标题 2 字符"/>
    <w:basedOn w:val="16"/>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20">
    <w:name w:val="标题 3 字符"/>
    <w:basedOn w:val="16"/>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21">
    <w:name w:val="标题 4 字符"/>
    <w:basedOn w:val="16"/>
    <w:link w:val="5"/>
    <w:semiHidden/>
    <w:qFormat/>
    <w:uiPriority w:val="9"/>
    <w:rPr>
      <w:rFonts w:cstheme="majorBidi"/>
      <w:color w:val="2F5597" w:themeColor="accent1" w:themeShade="BF"/>
      <w:sz w:val="28"/>
      <w:szCs w:val="28"/>
    </w:rPr>
  </w:style>
  <w:style w:type="character" w:customStyle="1" w:styleId="22">
    <w:name w:val="标题 5 字符"/>
    <w:basedOn w:val="16"/>
    <w:link w:val="6"/>
    <w:semiHidden/>
    <w:qFormat/>
    <w:uiPriority w:val="9"/>
    <w:rPr>
      <w:rFonts w:cstheme="majorBidi"/>
      <w:color w:val="2F5597" w:themeColor="accent1" w:themeShade="BF"/>
      <w:sz w:val="24"/>
    </w:rPr>
  </w:style>
  <w:style w:type="character" w:customStyle="1" w:styleId="23">
    <w:name w:val="标题 6 字符"/>
    <w:basedOn w:val="16"/>
    <w:link w:val="7"/>
    <w:semiHidden/>
    <w:qFormat/>
    <w:uiPriority w:val="9"/>
    <w:rPr>
      <w:rFonts w:cstheme="majorBidi"/>
      <w:b/>
      <w:bCs/>
      <w:color w:val="2F5597" w:themeColor="accent1" w:themeShade="BF"/>
    </w:rPr>
  </w:style>
  <w:style w:type="character" w:customStyle="1" w:styleId="24">
    <w:name w:val="标题 7 字符"/>
    <w:basedOn w:val="16"/>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5">
    <w:name w:val="标题 8 字符"/>
    <w:basedOn w:val="16"/>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6">
    <w:name w:val="标题 9 字符"/>
    <w:basedOn w:val="16"/>
    <w:link w:val="10"/>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7">
    <w:name w:val="标题 字符"/>
    <w:basedOn w:val="16"/>
    <w:link w:val="13"/>
    <w:qFormat/>
    <w:uiPriority w:val="10"/>
    <w:rPr>
      <w:rFonts w:asciiTheme="majorHAnsi" w:hAnsiTheme="majorHAnsi" w:eastAsiaTheme="majorEastAsia" w:cstheme="majorBidi"/>
      <w:spacing w:val="-10"/>
      <w:kern w:val="28"/>
      <w:sz w:val="56"/>
      <w:szCs w:val="56"/>
    </w:rPr>
  </w:style>
  <w:style w:type="character" w:customStyle="1" w:styleId="28">
    <w:name w:val="副标题 字符"/>
    <w:basedOn w:val="16"/>
    <w:link w:val="11"/>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0">
    <w:name w:val="引用 字符"/>
    <w:basedOn w:val="16"/>
    <w:link w:val="29"/>
    <w:qFormat/>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34"/>
    <w:pPr>
      <w:ind w:left="720"/>
      <w:contextualSpacing/>
    </w:pPr>
  </w:style>
  <w:style w:type="character" w:customStyle="1" w:styleId="32">
    <w:name w:val="Intense Emphasis"/>
    <w:basedOn w:val="16"/>
    <w:qFormat/>
    <w:uiPriority w:val="21"/>
    <w:rPr>
      <w:i/>
      <w:iCs/>
      <w:color w:val="2F5597" w:themeColor="accent1" w:themeShade="BF"/>
    </w:rPr>
  </w:style>
  <w:style w:type="paragraph" w:styleId="33">
    <w:name w:val="Intense Quote"/>
    <w:basedOn w:val="1"/>
    <w:next w:val="1"/>
    <w:link w:val="34"/>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4">
    <w:name w:val="明显引用 字符"/>
    <w:basedOn w:val="16"/>
    <w:link w:val="33"/>
    <w:qFormat/>
    <w:uiPriority w:val="30"/>
    <w:rPr>
      <w:i/>
      <w:iCs/>
      <w:color w:val="2F5597" w:themeColor="accent1" w:themeShade="BF"/>
    </w:rPr>
  </w:style>
  <w:style w:type="character" w:customStyle="1" w:styleId="35">
    <w:name w:val="Intense Reference"/>
    <w:basedOn w:val="16"/>
    <w:qFormat/>
    <w:uiPriority w:val="32"/>
    <w:rPr>
      <w:b/>
      <w:bCs/>
      <w:smallCaps/>
      <w:color w:val="2F5597" w:themeColor="accent1" w:themeShade="BF"/>
      <w:spacing w:val="5"/>
    </w:rPr>
  </w:style>
  <w:style w:type="character" w:customStyle="1" w:styleId="36">
    <w:name w:val="Unresolved Mention"/>
    <w:basedOn w:val="16"/>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3192</Words>
  <Characters>3708</Characters>
  <Lines>28</Lines>
  <Paragraphs>8</Paragraphs>
  <TotalTime>30</TotalTime>
  <ScaleCrop>false</ScaleCrop>
  <LinksUpToDate>false</LinksUpToDate>
  <CharactersWithSpaces>3713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2025-10-30T01:27:00Z</dcterms:created>
  <dc:creator>宇峰 周</dc:creator>
  <cp:lastModifiedBy>敏</cp:lastModifiedBy>
  <dcterms:modified xsi:type="dcterms:W3CDTF">2025-10-31T03:09:00Z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eyJoZGlkIjoiMmFhZGEwODEyZGJmZjExYTRmMGRhMWJjMTc5ZDhhMzQiLCJ1c2VySWQiOiIxMDM3MDAzMTM0In0=</vt:lpwstr>
  </property>
  <property fmtid="{D5CDD505-2E9C-101B-9397-08002B2CF9AE}" pid="3" name="KSOProductBuildVer">
    <vt:lpwstr>2052-12.1.0.23125</vt:lpwstr>
  </property>
  <property fmtid="{D5CDD505-2E9C-101B-9397-08002B2CF9AE}" pid="4" name="ICV">
    <vt:lpwstr>DFFBB44561A4419387EF6E31B14B6333_12</vt:lpwstr>
  </property>
</Properties>
</file>