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10B60">
      <w:pPr>
        <w:widowControl/>
        <w:adjustRightInd w:val="0"/>
        <w:snapToGrid w:val="0"/>
        <w:spacing w:line="360" w:lineRule="auto"/>
        <w:jc w:val="center"/>
        <w:outlineLvl w:val="4"/>
        <w:rPr>
          <w:rFonts w:ascii="宋体" w:hAnsi="宋体" w:eastAsia="宋体" w:cs="宋体"/>
          <w:b/>
          <w:bCs/>
          <w:kern w:val="0"/>
          <w:sz w:val="24"/>
          <w:szCs w:val="24"/>
        </w:rPr>
      </w:pPr>
      <w:r>
        <w:rPr>
          <w:rFonts w:ascii="宋体" w:hAnsi="宋体" w:eastAsia="宋体" w:cs="宋体"/>
          <w:b/>
          <w:bCs/>
          <w:kern w:val="0"/>
          <w:sz w:val="24"/>
          <w:szCs w:val="24"/>
        </w:rPr>
        <w:t>内蒙古昆明卷烟有限责任公司2026—2027年烟用材料采购项目—（第十一标包）烟用三乙酸甘油酯-公开招标公告</w:t>
      </w:r>
    </w:p>
    <w:p w14:paraId="4A2E21A4">
      <w:pPr>
        <w:widowControl/>
        <w:adjustRightInd w:val="0"/>
        <w:snapToGrid w:val="0"/>
        <w:spacing w:line="360" w:lineRule="auto"/>
        <w:jc w:val="center"/>
        <w:outlineLvl w:val="4"/>
        <w:rPr>
          <w:rFonts w:ascii="宋体" w:hAnsi="宋体" w:eastAsia="宋体" w:cs="宋体"/>
          <w:b/>
          <w:bCs/>
          <w:kern w:val="0"/>
          <w:sz w:val="24"/>
          <w:szCs w:val="24"/>
        </w:rPr>
      </w:pPr>
      <w:r>
        <w:rPr>
          <w:rFonts w:ascii="宋体" w:hAnsi="宋体" w:eastAsia="宋体" w:cs="宋体"/>
          <w:b/>
          <w:bCs/>
          <w:kern w:val="0"/>
          <w:sz w:val="24"/>
          <w:szCs w:val="24"/>
        </w:rPr>
        <w:t>(招标编号：</w:t>
      </w:r>
      <w:r>
        <w:rPr>
          <w:rFonts w:hint="eastAsia" w:ascii="宋体" w:hAnsi="宋体" w:eastAsia="宋体" w:cs="宋体"/>
          <w:b/>
          <w:bCs/>
          <w:kern w:val="0"/>
          <w:sz w:val="24"/>
          <w:szCs w:val="24"/>
        </w:rPr>
        <w:t>B202501BA2001929407562</w:t>
      </w:r>
      <w:r>
        <w:rPr>
          <w:rFonts w:ascii="宋体" w:hAnsi="宋体" w:eastAsia="宋体" w:cs="宋体"/>
          <w:b/>
          <w:bCs/>
          <w:kern w:val="0"/>
          <w:sz w:val="24"/>
          <w:szCs w:val="24"/>
        </w:rPr>
        <w:t>)</w:t>
      </w:r>
    </w:p>
    <w:p w14:paraId="66CD5A28">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招标项目所在地区：内蒙古自治区</w:t>
      </w:r>
    </w:p>
    <w:p w14:paraId="6F08989B">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一、招标条件</w:t>
      </w:r>
    </w:p>
    <w:p w14:paraId="37D3579D">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本招标项目内蒙古昆明卷烟有限责任公司2026—2027年烟用材料采购项目—（第十一标包）烟用三乙酸甘油酯（招标项目编号：B202501BA2001929407562），已由项目审批/核准/备案机关批准，项目资金来源为 企业自筹，招标人为内蒙古昆明卷烟有限责任公司。本项目已具备招标条件，现进行公开招标。</w:t>
      </w:r>
    </w:p>
    <w:p w14:paraId="41D4EBB1">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二、项目概况和招标范围</w:t>
      </w:r>
    </w:p>
    <w:p w14:paraId="2062ADFC">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项目规模：271.56万元(人民币) 。</w:t>
      </w:r>
    </w:p>
    <w:p w14:paraId="04B9575F">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招标内容与范围：1.招标内容：品名：三乙酸甘油酯。2.合同期限：2026年1月1日至2027年6月30日。3.交货时间：合同签订后按照招标人要求分批次交货，为满足招标人柔性化生产的需求,投标人须按照订单约定的交货时间交货。4.交货地点：内蒙古昆明卷烟有限责任公司物流中心仓库。</w:t>
      </w:r>
    </w:p>
    <w:p w14:paraId="55597B2D">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本招标项目划分为 1 个标段，本次招标为其中的：</w:t>
      </w:r>
    </w:p>
    <w:p w14:paraId="64D758DE">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001 2026—2027年烟用材料采购项目—（第十一标包）烟用三乙酸甘油酯</w:t>
      </w:r>
    </w:p>
    <w:p w14:paraId="34792F97">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三、投标人资格要求</w:t>
      </w:r>
    </w:p>
    <w:p w14:paraId="28237FC2">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001 2026—2027年烟用材料采购项目—（第十一标包）烟用三乙酸甘油酯：</w:t>
      </w:r>
    </w:p>
    <w:p w14:paraId="74E90F63">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2C0047F8">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（二）投标人具有有效的营业执照或其他法定资格证明；</w:t>
      </w:r>
    </w:p>
    <w:p w14:paraId="21D5CA70">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（三）投标人必须是投标产品的制造商，须出具制造商声明；</w:t>
      </w:r>
    </w:p>
    <w:p w14:paraId="21C40042">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（四）投标人及其法定代表人、主要负责人至投标截止日前三年内（成立时间不足三年的，自成立时间起）无行贿行为记录（以中国裁判文书网的查询结果为准）；</w:t>
      </w:r>
    </w:p>
    <w:p w14:paraId="774AA815">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（五）投标人法定代表人、主要负责人为同一人或者存在控股、管理关系的不同单位，不得参加同一标段投标或者未划分标段的同一招标项目投标，否则，相关投标无效；</w:t>
      </w:r>
    </w:p>
    <w:p w14:paraId="061F321B">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5D1EEAD">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（七）本项目不接受分包；</w:t>
      </w:r>
    </w:p>
    <w:p w14:paraId="11BE5DE2">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(八）</w:t>
      </w:r>
      <w:bookmarkStart w:id="0" w:name="_GoBack"/>
      <w:bookmarkEnd w:id="0"/>
      <w:r>
        <w:rPr>
          <w:rFonts w:hint="eastAsia" w:ascii="宋体" w:hAnsi="宋体" w:eastAsia="宋体" w:cs="宋体"/>
          <w:kern w:val="0"/>
          <w:sz w:val="24"/>
          <w:szCs w:val="24"/>
        </w:rPr>
        <w:t>本项目不允许联合体投标。</w:t>
      </w:r>
    </w:p>
    <w:p w14:paraId="4F246478">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四、招标文件的获取</w:t>
      </w:r>
    </w:p>
    <w:p w14:paraId="422F205E">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获取时间：2025年10月31日17时00分00秒---2025年11月06日17时00分00秒</w:t>
      </w:r>
    </w:p>
    <w:p w14:paraId="24F988A5">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获取方法：本项目为全流程电子化招投标项目，招标文件获取方式：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提交支付记录，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获取招标文件费用：500元/标包，售后不退。</w:t>
      </w:r>
    </w:p>
    <w:p w14:paraId="13FBFB42">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五、投标文件的递交</w:t>
      </w:r>
    </w:p>
    <w:p w14:paraId="44E2DA3C">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递交截止时间：2025年12月01日09时00分00秒</w:t>
      </w:r>
    </w:p>
    <w:p w14:paraId="4DDAFFAB">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递交方法：1、投标人应当在投标截止时间前，使用“中烟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658F3516">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六、开标时间及地点</w:t>
      </w:r>
    </w:p>
    <w:p w14:paraId="41F47165">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开标时间：2025年12月01日09时00分00秒</w:t>
      </w:r>
    </w:p>
    <w:p w14:paraId="59AF18D1">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2D57DDB2">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七、其他公告内容</w:t>
      </w:r>
    </w:p>
    <w:p w14:paraId="1EE0D25A">
      <w:pPr>
        <w:widowControl/>
        <w:adjustRightInd w:val="0"/>
        <w:snapToGrid w:val="0"/>
        <w:spacing w:line="360" w:lineRule="auto"/>
        <w:ind w:firstLine="480"/>
        <w:rPr>
          <w:rFonts w:ascii="宋体" w:hAnsi="宋体" w:eastAsia="宋体" w:cs="宋体"/>
          <w:kern w:val="0"/>
          <w:sz w:val="24"/>
          <w:szCs w:val="24"/>
        </w:rPr>
      </w:pPr>
      <w:r>
        <w:rPr>
          <w:rFonts w:hint="eastAsia" w:ascii="宋体" w:hAnsi="宋体" w:eastAsia="宋体" w:cs="宋体"/>
          <w:kern w:val="0"/>
          <w:sz w:val="24"/>
          <w:szCs w:val="24"/>
        </w:rPr>
        <w:t>（一）对招标内容与范围的补充</w:t>
      </w:r>
    </w:p>
    <w:p w14:paraId="31F2949F">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1.本次招标为单价招标，中标后实际供货量以采购订单为准。2026年预计采购金额为181.04万元，2027年采购金额以当年实际发生金额为准。</w:t>
      </w:r>
    </w:p>
    <w:p w14:paraId="423C6E01">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2.每年预计采购量110400公斤(预计采购量仅为投标报价提供参考，不作为中标后实际采购量)。</w:t>
      </w:r>
    </w:p>
    <w:p w14:paraId="2354F8D4">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3.各投标人必须对招标内容产品整体投标，不得缺项、漏项，否则作否决投标处理。</w:t>
      </w:r>
    </w:p>
    <w:p w14:paraId="0DDA960A">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4.最高投标限价、拟中标家数、拟中标权重及备选供应商家数表：</w:t>
      </w:r>
    </w:p>
    <w:tbl>
      <w:tblPr>
        <w:tblStyle w:val="13"/>
        <w:tblW w:w="5000" w:type="pct"/>
        <w:jc w:val="center"/>
        <w:tblLayout w:type="autofit"/>
        <w:tblCellMar>
          <w:top w:w="0" w:type="dxa"/>
          <w:left w:w="0" w:type="dxa"/>
          <w:bottom w:w="0" w:type="dxa"/>
          <w:right w:w="0" w:type="dxa"/>
        </w:tblCellMar>
      </w:tblPr>
      <w:tblGrid>
        <w:gridCol w:w="788"/>
        <w:gridCol w:w="1675"/>
        <w:gridCol w:w="2661"/>
        <w:gridCol w:w="1281"/>
        <w:gridCol w:w="1577"/>
        <w:gridCol w:w="1872"/>
      </w:tblGrid>
      <w:tr w14:paraId="171260B5">
        <w:tblPrEx>
          <w:tblCellMar>
            <w:top w:w="0" w:type="dxa"/>
            <w:left w:w="0" w:type="dxa"/>
            <w:bottom w:w="0" w:type="dxa"/>
            <w:right w:w="0" w:type="dxa"/>
          </w:tblCellMar>
        </w:tblPrEx>
        <w:trPr>
          <w:trHeight w:val="985" w:hRule="atLeast"/>
          <w:tblHeader/>
          <w:jc w:val="center"/>
        </w:trPr>
        <w:tc>
          <w:tcPr>
            <w:tcW w:w="400"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5BAB9E1">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85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779A1B7">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品名</w:t>
            </w:r>
          </w:p>
        </w:tc>
        <w:tc>
          <w:tcPr>
            <w:tcW w:w="135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03DAD11">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不含税最高投标限价(元/公斤)</w:t>
            </w:r>
          </w:p>
        </w:tc>
        <w:tc>
          <w:tcPr>
            <w:tcW w:w="65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92538DE">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拟中标家数</w:t>
            </w:r>
          </w:p>
        </w:tc>
        <w:tc>
          <w:tcPr>
            <w:tcW w:w="80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40398BB">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拟中标权重</w:t>
            </w:r>
          </w:p>
          <w:p w14:paraId="29070FFB">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80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EFCE60E">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备选供应商家数</w:t>
            </w:r>
          </w:p>
        </w:tc>
      </w:tr>
      <w:tr w14:paraId="4B696EEA">
        <w:tblPrEx>
          <w:tblCellMar>
            <w:top w:w="0" w:type="dxa"/>
            <w:left w:w="0" w:type="dxa"/>
            <w:bottom w:w="0" w:type="dxa"/>
            <w:right w:w="0" w:type="dxa"/>
          </w:tblCellMar>
        </w:tblPrEx>
        <w:trPr>
          <w:trHeight w:val="567" w:hRule="atLeast"/>
          <w:tblHeader/>
          <w:jc w:val="center"/>
        </w:trPr>
        <w:tc>
          <w:tcPr>
            <w:tcW w:w="400" w:type="pct"/>
            <w:tcBorders>
              <w:top w:val="nil"/>
              <w:left w:val="single" w:color="auto" w:sz="8" w:space="0"/>
              <w:bottom w:val="single" w:color="auto" w:sz="8" w:space="0"/>
              <w:right w:val="single" w:color="auto" w:sz="8" w:space="0"/>
            </w:tcBorders>
            <w:tcMar>
              <w:top w:w="0" w:type="dxa"/>
              <w:left w:w="108" w:type="dxa"/>
              <w:bottom w:w="0" w:type="dxa"/>
              <w:right w:w="108" w:type="dxa"/>
            </w:tcMar>
            <w:vAlign w:val="bottom"/>
          </w:tcPr>
          <w:p w14:paraId="3714CD61">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850" w:type="pct"/>
            <w:tcBorders>
              <w:top w:val="nil"/>
              <w:left w:val="nil"/>
              <w:bottom w:val="single" w:color="auto" w:sz="8" w:space="0"/>
              <w:right w:val="single" w:color="auto" w:sz="8" w:space="0"/>
            </w:tcBorders>
            <w:tcMar>
              <w:top w:w="0" w:type="dxa"/>
              <w:left w:w="108" w:type="dxa"/>
              <w:bottom w:w="0" w:type="dxa"/>
              <w:right w:w="108" w:type="dxa"/>
            </w:tcMar>
            <w:vAlign w:val="bottom"/>
          </w:tcPr>
          <w:p w14:paraId="3417E2F9">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三乙酸甘油酯</w:t>
            </w:r>
          </w:p>
        </w:tc>
        <w:tc>
          <w:tcPr>
            <w:tcW w:w="1350" w:type="pct"/>
            <w:tcBorders>
              <w:top w:val="nil"/>
              <w:left w:val="nil"/>
              <w:bottom w:val="single" w:color="auto" w:sz="8" w:space="0"/>
              <w:right w:val="single" w:color="auto" w:sz="8" w:space="0"/>
            </w:tcBorders>
            <w:tcMar>
              <w:top w:w="0" w:type="dxa"/>
              <w:left w:w="108" w:type="dxa"/>
              <w:bottom w:w="0" w:type="dxa"/>
              <w:right w:w="108" w:type="dxa"/>
            </w:tcMar>
            <w:vAlign w:val="bottom"/>
          </w:tcPr>
          <w:p w14:paraId="136B310B">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9.98</w:t>
            </w:r>
          </w:p>
        </w:tc>
        <w:tc>
          <w:tcPr>
            <w:tcW w:w="650" w:type="pct"/>
            <w:tcBorders>
              <w:top w:val="nil"/>
              <w:left w:val="nil"/>
              <w:bottom w:val="single" w:color="auto" w:sz="8" w:space="0"/>
              <w:right w:val="single" w:color="auto" w:sz="8" w:space="0"/>
            </w:tcBorders>
            <w:tcMar>
              <w:top w:w="0" w:type="dxa"/>
              <w:left w:w="108" w:type="dxa"/>
              <w:bottom w:w="0" w:type="dxa"/>
              <w:right w:w="108" w:type="dxa"/>
            </w:tcMar>
            <w:vAlign w:val="bottom"/>
          </w:tcPr>
          <w:p w14:paraId="12452A85">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800" w:type="pct"/>
            <w:tcBorders>
              <w:top w:val="nil"/>
              <w:left w:val="nil"/>
              <w:bottom w:val="single" w:color="auto" w:sz="8" w:space="0"/>
              <w:right w:val="single" w:color="auto" w:sz="8" w:space="0"/>
            </w:tcBorders>
            <w:tcMar>
              <w:top w:w="0" w:type="dxa"/>
              <w:left w:w="108" w:type="dxa"/>
              <w:bottom w:w="0" w:type="dxa"/>
              <w:right w:w="108" w:type="dxa"/>
            </w:tcMar>
            <w:vAlign w:val="bottom"/>
          </w:tcPr>
          <w:p w14:paraId="027CFAA6">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60:40</w:t>
            </w:r>
          </w:p>
        </w:tc>
        <w:tc>
          <w:tcPr>
            <w:tcW w:w="800" w:type="pct"/>
            <w:tcBorders>
              <w:top w:val="nil"/>
              <w:left w:val="nil"/>
              <w:bottom w:val="single" w:color="auto" w:sz="8" w:space="0"/>
              <w:right w:val="single" w:color="auto" w:sz="8" w:space="0"/>
            </w:tcBorders>
            <w:tcMar>
              <w:top w:w="0" w:type="dxa"/>
              <w:left w:w="108" w:type="dxa"/>
              <w:bottom w:w="0" w:type="dxa"/>
              <w:right w:w="108" w:type="dxa"/>
            </w:tcMar>
            <w:vAlign w:val="bottom"/>
          </w:tcPr>
          <w:p w14:paraId="0FA86CFA">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p>
        </w:tc>
      </w:tr>
      <w:tr w14:paraId="37E40445">
        <w:tblPrEx>
          <w:tblCellMar>
            <w:top w:w="0" w:type="dxa"/>
            <w:left w:w="0" w:type="dxa"/>
            <w:bottom w:w="0" w:type="dxa"/>
            <w:right w:w="0" w:type="dxa"/>
          </w:tblCellMar>
        </w:tblPrEx>
        <w:trPr>
          <w:trHeight w:val="417" w:hRule="atLeast"/>
          <w:tblHeader/>
          <w:jc w:val="center"/>
        </w:trPr>
        <w:tc>
          <w:tcPr>
            <w:tcW w:w="5000" w:type="pct"/>
            <w:gridSpan w:val="6"/>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6D0EB6A">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kern w:val="0"/>
                <w:sz w:val="24"/>
                <w:szCs w:val="24"/>
              </w:rPr>
            </w:pPr>
            <w:r>
              <w:rPr>
                <w:rFonts w:hint="eastAsia" w:ascii="宋体" w:hAnsi="宋体" w:eastAsia="宋体" w:cs="宋体"/>
                <w:kern w:val="0"/>
                <w:sz w:val="24"/>
                <w:szCs w:val="24"/>
              </w:rPr>
              <w:t>备注：“中标权重”是中标单位供货量占供货期限内（从所有供应商具备供货条件时算起）实际采购量的百分比。</w:t>
            </w:r>
          </w:p>
        </w:tc>
      </w:tr>
    </w:tbl>
    <w:p w14:paraId="41849ED6">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5.中标候选人中标品名汇总表</w:t>
      </w:r>
    </w:p>
    <w:tbl>
      <w:tblPr>
        <w:tblStyle w:val="13"/>
        <w:tblW w:w="4950" w:type="pct"/>
        <w:tblInd w:w="0" w:type="dxa"/>
        <w:tblLayout w:type="autofit"/>
        <w:tblCellMar>
          <w:top w:w="0" w:type="dxa"/>
          <w:left w:w="0" w:type="dxa"/>
          <w:bottom w:w="0" w:type="dxa"/>
          <w:right w:w="0" w:type="dxa"/>
        </w:tblCellMar>
      </w:tblPr>
      <w:tblGrid>
        <w:gridCol w:w="3350"/>
        <w:gridCol w:w="6405"/>
      </w:tblGrid>
      <w:tr w14:paraId="7EAC53B4">
        <w:tblPrEx>
          <w:tblCellMar>
            <w:top w:w="0" w:type="dxa"/>
            <w:left w:w="0" w:type="dxa"/>
            <w:bottom w:w="0" w:type="dxa"/>
            <w:right w:w="0" w:type="dxa"/>
          </w:tblCellMar>
        </w:tblPrEx>
        <w:trPr>
          <w:trHeight w:val="567" w:hRule="atLeast"/>
        </w:trPr>
        <w:tc>
          <w:tcPr>
            <w:tcW w:w="1700"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bottom"/>
          </w:tcPr>
          <w:p w14:paraId="17CE546E">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排名顺序</w:t>
            </w:r>
          </w:p>
        </w:tc>
        <w:tc>
          <w:tcPr>
            <w:tcW w:w="3250" w:type="pct"/>
            <w:tcBorders>
              <w:top w:val="single" w:color="auto" w:sz="8" w:space="0"/>
              <w:left w:val="nil"/>
              <w:bottom w:val="single" w:color="auto" w:sz="8" w:space="0"/>
              <w:right w:val="single" w:color="auto" w:sz="8" w:space="0"/>
            </w:tcBorders>
            <w:tcMar>
              <w:top w:w="0" w:type="dxa"/>
              <w:left w:w="108" w:type="dxa"/>
              <w:bottom w:w="0" w:type="dxa"/>
              <w:right w:w="108" w:type="dxa"/>
            </w:tcMar>
            <w:vAlign w:val="bottom"/>
          </w:tcPr>
          <w:p w14:paraId="6189CDE2">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三乙酸甘油酯</w:t>
            </w:r>
          </w:p>
        </w:tc>
      </w:tr>
      <w:tr w14:paraId="72C09621">
        <w:tblPrEx>
          <w:tblCellMar>
            <w:top w:w="0" w:type="dxa"/>
            <w:left w:w="0" w:type="dxa"/>
            <w:bottom w:w="0" w:type="dxa"/>
            <w:right w:w="0" w:type="dxa"/>
          </w:tblCellMar>
        </w:tblPrEx>
        <w:trPr>
          <w:trHeight w:val="567" w:hRule="atLeast"/>
        </w:trPr>
        <w:tc>
          <w:tcPr>
            <w:tcW w:w="1700" w:type="pct"/>
            <w:tcBorders>
              <w:top w:val="nil"/>
              <w:left w:val="single" w:color="auto" w:sz="8" w:space="0"/>
              <w:bottom w:val="single" w:color="auto" w:sz="8" w:space="0"/>
              <w:right w:val="single" w:color="auto" w:sz="8" w:space="0"/>
            </w:tcBorders>
            <w:tcMar>
              <w:top w:w="0" w:type="dxa"/>
              <w:left w:w="108" w:type="dxa"/>
              <w:bottom w:w="0" w:type="dxa"/>
              <w:right w:w="108" w:type="dxa"/>
            </w:tcMar>
            <w:vAlign w:val="bottom"/>
          </w:tcPr>
          <w:p w14:paraId="34142337">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第一中标候选人</w:t>
            </w:r>
          </w:p>
        </w:tc>
        <w:tc>
          <w:tcPr>
            <w:tcW w:w="3250" w:type="pct"/>
            <w:tcBorders>
              <w:top w:val="nil"/>
              <w:left w:val="nil"/>
              <w:bottom w:val="single" w:color="auto" w:sz="8" w:space="0"/>
              <w:right w:val="single" w:color="auto" w:sz="8" w:space="0"/>
            </w:tcBorders>
            <w:tcMar>
              <w:top w:w="0" w:type="dxa"/>
              <w:left w:w="108" w:type="dxa"/>
              <w:bottom w:w="0" w:type="dxa"/>
              <w:right w:w="108" w:type="dxa"/>
            </w:tcMar>
            <w:vAlign w:val="bottom"/>
          </w:tcPr>
          <w:p w14:paraId="0397D485">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拟中标权重60%</w:t>
            </w:r>
          </w:p>
        </w:tc>
      </w:tr>
      <w:tr w14:paraId="0E7D7610">
        <w:tblPrEx>
          <w:tblCellMar>
            <w:top w:w="0" w:type="dxa"/>
            <w:left w:w="0" w:type="dxa"/>
            <w:bottom w:w="0" w:type="dxa"/>
            <w:right w:w="0" w:type="dxa"/>
          </w:tblCellMar>
        </w:tblPrEx>
        <w:trPr>
          <w:trHeight w:val="567" w:hRule="atLeast"/>
        </w:trPr>
        <w:tc>
          <w:tcPr>
            <w:tcW w:w="1700" w:type="pct"/>
            <w:tcBorders>
              <w:top w:val="nil"/>
              <w:left w:val="single" w:color="auto" w:sz="8" w:space="0"/>
              <w:bottom w:val="single" w:color="auto" w:sz="8" w:space="0"/>
              <w:right w:val="single" w:color="auto" w:sz="8" w:space="0"/>
            </w:tcBorders>
            <w:tcMar>
              <w:top w:w="0" w:type="dxa"/>
              <w:left w:w="108" w:type="dxa"/>
              <w:bottom w:w="0" w:type="dxa"/>
              <w:right w:w="108" w:type="dxa"/>
            </w:tcMar>
            <w:vAlign w:val="bottom"/>
          </w:tcPr>
          <w:p w14:paraId="614C6972">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第二中标候选人</w:t>
            </w:r>
          </w:p>
        </w:tc>
        <w:tc>
          <w:tcPr>
            <w:tcW w:w="3250" w:type="pct"/>
            <w:tcBorders>
              <w:top w:val="nil"/>
              <w:left w:val="nil"/>
              <w:bottom w:val="single" w:color="auto" w:sz="8" w:space="0"/>
              <w:right w:val="single" w:color="auto" w:sz="8" w:space="0"/>
            </w:tcBorders>
            <w:tcMar>
              <w:top w:w="0" w:type="dxa"/>
              <w:left w:w="108" w:type="dxa"/>
              <w:bottom w:w="0" w:type="dxa"/>
              <w:right w:w="108" w:type="dxa"/>
            </w:tcMar>
            <w:vAlign w:val="bottom"/>
          </w:tcPr>
          <w:p w14:paraId="4B762530">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拟中标权重40%</w:t>
            </w:r>
          </w:p>
        </w:tc>
      </w:tr>
      <w:tr w14:paraId="587F204E">
        <w:tblPrEx>
          <w:tblCellMar>
            <w:top w:w="0" w:type="dxa"/>
            <w:left w:w="0" w:type="dxa"/>
            <w:bottom w:w="0" w:type="dxa"/>
            <w:right w:w="0" w:type="dxa"/>
          </w:tblCellMar>
        </w:tblPrEx>
        <w:trPr>
          <w:trHeight w:val="567" w:hRule="atLeast"/>
        </w:trPr>
        <w:tc>
          <w:tcPr>
            <w:tcW w:w="1700" w:type="pct"/>
            <w:tcBorders>
              <w:top w:val="nil"/>
              <w:left w:val="single" w:color="auto" w:sz="8" w:space="0"/>
              <w:bottom w:val="single" w:color="auto" w:sz="8" w:space="0"/>
              <w:right w:val="single" w:color="auto" w:sz="8" w:space="0"/>
            </w:tcBorders>
            <w:tcMar>
              <w:top w:w="0" w:type="dxa"/>
              <w:left w:w="108" w:type="dxa"/>
              <w:bottom w:w="0" w:type="dxa"/>
              <w:right w:w="108" w:type="dxa"/>
            </w:tcMar>
            <w:vAlign w:val="bottom"/>
          </w:tcPr>
          <w:p w14:paraId="7E26EC32">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第三中标候选人</w:t>
            </w:r>
          </w:p>
        </w:tc>
        <w:tc>
          <w:tcPr>
            <w:tcW w:w="3250" w:type="pct"/>
            <w:tcBorders>
              <w:top w:val="nil"/>
              <w:left w:val="nil"/>
              <w:bottom w:val="single" w:color="auto" w:sz="8" w:space="0"/>
              <w:right w:val="single" w:color="auto" w:sz="8" w:space="0"/>
            </w:tcBorders>
            <w:tcMar>
              <w:top w:w="0" w:type="dxa"/>
              <w:left w:w="108" w:type="dxa"/>
              <w:bottom w:w="0" w:type="dxa"/>
              <w:right w:w="108" w:type="dxa"/>
            </w:tcMar>
            <w:vAlign w:val="bottom"/>
          </w:tcPr>
          <w:p w14:paraId="364036B2">
            <w:pPr>
              <w:keepNext w:val="0"/>
              <w:keepLines w:val="0"/>
              <w:pageBreakBefore w:val="0"/>
              <w:widowControl/>
              <w:kinsoku/>
              <w:wordWrap/>
              <w:overflowPunct/>
              <w:topLinePunct w:val="0"/>
              <w:autoSpaceDE/>
              <w:autoSpaceDN/>
              <w:bidi w:val="0"/>
              <w:adjustRightInd w:val="0"/>
              <w:snapToGrid w:val="0"/>
              <w:spacing w:line="360" w:lineRule="auto"/>
              <w:ind w:firstLine="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备选供应商</w:t>
            </w:r>
          </w:p>
        </w:tc>
      </w:tr>
    </w:tbl>
    <w:p w14:paraId="200741C8">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6.招标人按照评标委员会提出的中标候选人名单排序确定中标人及备选供应商。招标人与备选供应商均签订备选合同。中标人具体供货量以订单为准，供货期内不保证备选供应商的供货量。</w:t>
      </w:r>
    </w:p>
    <w:p w14:paraId="51734948">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7.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4ECF2EC4">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8.供应商试机期间，供货比例由其他具备供货资格的供应商平均进行分配；待其试机通过后，按照中标权重进行采购。</w:t>
      </w:r>
    </w:p>
    <w:p w14:paraId="7D41E659">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9.招标人将以各品名中标人的最低投标报价作为该品名的统一单价（即中标价），各中标人及备选供应商在本次招标供货期限内均应按统一单价进行供货，供货地点由招标人统一安排。投标人在投标文件中必须对本条款要求作出响应性承诺，否则作否决投标处理。</w:t>
      </w:r>
    </w:p>
    <w:p w14:paraId="642ED9AB">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10.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74616057">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11.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56B9E709">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（二）标书费汇至如下账户：</w:t>
      </w:r>
    </w:p>
    <w:p w14:paraId="34E120CF">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收款单位：内蒙古中实工程招标咨询有限责任公司</w:t>
      </w:r>
    </w:p>
    <w:p w14:paraId="3BB46530">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开户银行：招商银行呼和浩特巨海城支行</w:t>
      </w:r>
    </w:p>
    <w:p w14:paraId="129AC0ED">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账号：47190001411032518030001</w:t>
      </w:r>
    </w:p>
    <w:p w14:paraId="55E7F972">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行号：308191036122</w:t>
      </w:r>
    </w:p>
    <w:p w14:paraId="3F5970D7">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备注：汇款凭证的用途栏或空白处应注明“2026—2027年烟用材料采购项目—（第十一标包）烟用三乙酸甘油酯标书费”。</w:t>
      </w:r>
    </w:p>
    <w:p w14:paraId="654ACD8E">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（三）招标公告发布媒介</w:t>
      </w:r>
    </w:p>
    <w:p w14:paraId="01BCBE8B">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中国招标投标公共服务平台（</w:t>
      </w:r>
      <w:r>
        <w:fldChar w:fldCharType="begin"/>
      </w:r>
      <w:r>
        <w:instrText xml:space="preserve"> HYPERLINK "http://www.cebpubservice.com/" </w:instrText>
      </w:r>
      <w:r>
        <w:fldChar w:fldCharType="separate"/>
      </w:r>
      <w:r>
        <w:rPr>
          <w:rFonts w:hint="eastAsia" w:ascii="宋体" w:hAnsi="宋体" w:eastAsia="宋体" w:cs="宋体"/>
          <w:kern w:val="0"/>
          <w:sz w:val="24"/>
          <w:szCs w:val="24"/>
          <w:u w:val="single"/>
        </w:rPr>
        <w:t>http://www.cebpubservice.com</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40E69AEF">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内蒙古招标投标公共服务平台（</w:t>
      </w:r>
      <w:r>
        <w:fldChar w:fldCharType="begin"/>
      </w:r>
      <w:r>
        <w:instrText xml:space="preserve"> HYPERLINK "http://zbgg.nmgztb.com.cn/" </w:instrText>
      </w:r>
      <w:r>
        <w:fldChar w:fldCharType="separate"/>
      </w:r>
      <w:r>
        <w:rPr>
          <w:rFonts w:hint="eastAsia" w:ascii="宋体" w:hAnsi="宋体" w:eastAsia="宋体" w:cs="宋体"/>
          <w:kern w:val="0"/>
          <w:sz w:val="24"/>
          <w:szCs w:val="24"/>
          <w:u w:val="single"/>
        </w:rPr>
        <w:t>http://zbgg.nmgztb.com.cn/</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69D2A4C1">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中烟电子采购平台（</w:t>
      </w:r>
      <w:r>
        <w:fldChar w:fldCharType="begin"/>
      </w:r>
      <w:r>
        <w:instrText xml:space="preserve"> HYPERLINK "http://cgjy.tobacco.com.cn/" </w:instrText>
      </w:r>
      <w:r>
        <w:fldChar w:fldCharType="separate"/>
      </w:r>
      <w:r>
        <w:rPr>
          <w:rFonts w:hint="eastAsia" w:ascii="宋体" w:hAnsi="宋体" w:eastAsia="宋体" w:cs="宋体"/>
          <w:kern w:val="0"/>
          <w:sz w:val="24"/>
          <w:szCs w:val="24"/>
          <w:u w:val="single"/>
        </w:rPr>
        <w:t>http://cgjy.tobacco.com.cn</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51078077">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中国烟草物资电子商务网（</w:t>
      </w:r>
      <w:r>
        <w:fldChar w:fldCharType="begin"/>
      </w:r>
      <w:r>
        <w:instrText xml:space="preserve"> HYPERLINK "https://wzw.tobacco.com.cn/" </w:instrText>
      </w:r>
      <w:r>
        <w:fldChar w:fldCharType="separate"/>
      </w:r>
      <w:r>
        <w:rPr>
          <w:rFonts w:hint="eastAsia" w:ascii="宋体" w:hAnsi="宋体" w:eastAsia="宋体" w:cs="宋体"/>
          <w:kern w:val="0"/>
          <w:sz w:val="24"/>
          <w:szCs w:val="24"/>
          <w:u w:val="single"/>
        </w:rPr>
        <w:t>https://wzw.tobacco.com.cn/</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t>
      </w:r>
    </w:p>
    <w:p w14:paraId="27D834D7">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内蒙古昆明卷烟有限责任公司（</w:t>
      </w:r>
      <w:r>
        <w:fldChar w:fldCharType="begin"/>
      </w:r>
      <w:r>
        <w:instrText xml:space="preserve"> HYPERLINK "http://bid.tobacco.com.cn/" </w:instrText>
      </w:r>
      <w:r>
        <w:fldChar w:fldCharType="separate"/>
      </w:r>
      <w:r>
        <w:rPr>
          <w:rFonts w:hint="eastAsia" w:ascii="宋体" w:hAnsi="宋体" w:eastAsia="宋体" w:cs="宋体"/>
          <w:kern w:val="0"/>
          <w:sz w:val="24"/>
          <w:szCs w:val="24"/>
          <w:u w:val="single"/>
        </w:rPr>
        <w:t>http://</w:t>
      </w:r>
      <w:r>
        <w:rPr>
          <w:rFonts w:hint="eastAsia" w:ascii="宋体" w:hAnsi="宋体" w:eastAsia="宋体" w:cs="宋体"/>
          <w:kern w:val="0"/>
          <w:sz w:val="24"/>
          <w:szCs w:val="24"/>
          <w:u w:val="single"/>
        </w:rPr>
        <w:fldChar w:fldCharType="end"/>
      </w:r>
      <w:r>
        <w:rPr>
          <w:rFonts w:hint="eastAsia" w:ascii="宋体" w:hAnsi="宋体" w:eastAsia="宋体" w:cs="宋体"/>
          <w:kern w:val="0"/>
          <w:sz w:val="24"/>
          <w:szCs w:val="24"/>
        </w:rPr>
        <w:t>www.imkcc.com）</w:t>
      </w:r>
    </w:p>
    <w:p w14:paraId="2C6FED41">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八、监督部门</w:t>
      </w:r>
    </w:p>
    <w:p w14:paraId="5CEDA596">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本招标项目的监督部门为规范管理部。</w:t>
      </w:r>
    </w:p>
    <w:p w14:paraId="23F65691">
      <w:pPr>
        <w:widowControl/>
        <w:adjustRightInd w:val="0"/>
        <w:snapToGrid w:val="0"/>
        <w:spacing w:line="360" w:lineRule="auto"/>
        <w:jc w:val="left"/>
        <w:outlineLvl w:val="4"/>
        <w:rPr>
          <w:rFonts w:hint="eastAsia" w:ascii="宋体" w:hAnsi="宋体" w:eastAsia="宋体" w:cs="宋体"/>
          <w:b/>
          <w:bCs/>
          <w:kern w:val="0"/>
          <w:sz w:val="24"/>
          <w:szCs w:val="24"/>
        </w:rPr>
      </w:pPr>
      <w:r>
        <w:rPr>
          <w:rFonts w:ascii="宋体" w:hAnsi="宋体" w:eastAsia="宋体" w:cs="宋体"/>
          <w:b/>
          <w:bCs/>
          <w:kern w:val="0"/>
          <w:sz w:val="24"/>
          <w:szCs w:val="24"/>
        </w:rPr>
        <w:t>九、联系方式</w:t>
      </w:r>
    </w:p>
    <w:p w14:paraId="3C63C1CE">
      <w:pPr>
        <w:widowControl/>
        <w:adjustRightInd w:val="0"/>
        <w:snapToGrid w:val="0"/>
        <w:spacing w:line="360" w:lineRule="auto"/>
        <w:ind w:firstLine="480"/>
        <w:jc w:val="left"/>
        <w:rPr>
          <w:rFonts w:ascii="宋体" w:hAnsi="宋体" w:eastAsia="宋体" w:cs="宋体"/>
          <w:kern w:val="0"/>
          <w:sz w:val="24"/>
          <w:szCs w:val="24"/>
        </w:rPr>
      </w:pPr>
      <w:r>
        <w:rPr>
          <w:rFonts w:hint="eastAsia" w:ascii="宋体" w:hAnsi="宋体" w:eastAsia="宋体" w:cs="宋体"/>
          <w:kern w:val="0"/>
          <w:sz w:val="24"/>
          <w:szCs w:val="24"/>
        </w:rPr>
        <w:t>招标人：内蒙古昆明卷烟有限责任公司</w:t>
      </w:r>
    </w:p>
    <w:p w14:paraId="5A0EE077">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地址：内蒙古自治区呼和浩特市赛罕区达尔登北路19号</w:t>
      </w:r>
    </w:p>
    <w:p w14:paraId="07C60CE6">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联系人：张敏</w:t>
      </w:r>
    </w:p>
    <w:p w14:paraId="53E99AF6">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电话：0471-4348706</w:t>
      </w:r>
    </w:p>
    <w:p w14:paraId="43EAAD2D">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电子邮件：/</w:t>
      </w:r>
    </w:p>
    <w:p w14:paraId="1D028113">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招标代理机构：内蒙古中实工程招标咨询有限责任公司</w:t>
      </w:r>
    </w:p>
    <w:p w14:paraId="041E74B2">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地址：内蒙古自治区呼和浩特市赛罕区鄂尔多斯东街12号银联大厦10层</w:t>
      </w:r>
    </w:p>
    <w:p w14:paraId="1F6F8C62">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联系人：张晓宇 高星冰 周宇峰</w:t>
      </w:r>
    </w:p>
    <w:p w14:paraId="15695C87">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电话：0471-5223622</w:t>
      </w:r>
    </w:p>
    <w:p w14:paraId="060F611E">
      <w:pPr>
        <w:widowControl/>
        <w:adjustRightInd w:val="0"/>
        <w:snapToGri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电子邮件：zszbsfgs@126.com</w:t>
      </w:r>
    </w:p>
    <w:p w14:paraId="389184A4">
      <w:pPr>
        <w:adjustRightInd w:val="0"/>
        <w:snapToGrid w:val="0"/>
        <w:spacing w:line="360" w:lineRule="auto"/>
        <w:rPr>
          <w:rFonts w:ascii="宋体" w:hAnsi="宋体" w:eastAsia="宋体"/>
          <w:sz w:val="24"/>
          <w:szCs w:val="24"/>
        </w:rPr>
      </w:pPr>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B4B"/>
    <w:rsid w:val="00615427"/>
    <w:rsid w:val="00A92D0F"/>
    <w:rsid w:val="00D30B4B"/>
    <w:rsid w:val="00E81037"/>
    <w:rsid w:val="0A157CFC"/>
    <w:rsid w:val="0C754355"/>
    <w:rsid w:val="15C82DA1"/>
    <w:rsid w:val="230C7A96"/>
    <w:rsid w:val="57212E09"/>
    <w:rsid w:val="58A3236C"/>
    <w:rsid w:val="67D6379C"/>
    <w:rsid w:val="71F17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heme="minorHAnsi" w:hAnsiTheme="minorHAnsi" w:eastAsiaTheme="minorEastAsia" w:cstheme="minorBidi"/>
      <w:kern w:val="2"/>
      <w:sz w:val="21"/>
      <w:szCs w:val="22"/>
      <w:lang w:val="en-US" w:eastAsia="zh-CN" w:bidi="ar-SA"/>
      <w14:ligatures w14:val="none"/>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4">
    <w:name w:val="Table Grid"/>
    <w:basedOn w:val="13"/>
    <w:qFormat/>
    <w:uiPriority w:val="0"/>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unhideWhenUsed/>
    <w:qFormat/>
    <w:uiPriority w:val="99"/>
    <w:rPr>
      <w:color w:val="0563C1" w:themeColor="hyperlink"/>
      <w:u w:val="single"/>
      <w14:textFill>
        <w14:solidFill>
          <w14:schemeClr w14:val="hlink"/>
        </w14:solidFill>
      </w14:textFill>
    </w:rPr>
  </w:style>
  <w:style w:type="character" w:customStyle="1" w:styleId="17">
    <w:name w:val="标题 1 字符"/>
    <w:basedOn w:val="15"/>
    <w:link w:val="2"/>
    <w:qFormat/>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5"/>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5"/>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5"/>
    <w:link w:val="5"/>
    <w:semiHidden/>
    <w:qFormat/>
    <w:uiPriority w:val="9"/>
    <w:rPr>
      <w:rFonts w:cstheme="majorBidi"/>
      <w:color w:val="2F5597" w:themeColor="accent1" w:themeShade="BF"/>
      <w:sz w:val="28"/>
      <w:szCs w:val="28"/>
    </w:rPr>
  </w:style>
  <w:style w:type="character" w:customStyle="1" w:styleId="21">
    <w:name w:val="标题 5 字符"/>
    <w:basedOn w:val="15"/>
    <w:link w:val="6"/>
    <w:semiHidden/>
    <w:qFormat/>
    <w:uiPriority w:val="9"/>
    <w:rPr>
      <w:rFonts w:cstheme="majorBidi"/>
      <w:color w:val="2F5597" w:themeColor="accent1" w:themeShade="BF"/>
      <w:sz w:val="24"/>
    </w:rPr>
  </w:style>
  <w:style w:type="character" w:customStyle="1" w:styleId="22">
    <w:name w:val="标题 6 字符"/>
    <w:basedOn w:val="15"/>
    <w:link w:val="7"/>
    <w:semiHidden/>
    <w:qFormat/>
    <w:uiPriority w:val="9"/>
    <w:rPr>
      <w:rFonts w:cstheme="majorBidi"/>
      <w:b/>
      <w:bCs/>
      <w:color w:val="2F5597" w:themeColor="accent1" w:themeShade="BF"/>
    </w:rPr>
  </w:style>
  <w:style w:type="character" w:customStyle="1" w:styleId="23">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5"/>
    <w:link w:val="12"/>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5"/>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5"/>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5"/>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明显引用 字符"/>
    <w:basedOn w:val="15"/>
    <w:link w:val="32"/>
    <w:qFormat/>
    <w:uiPriority w:val="30"/>
    <w:rPr>
      <w:i/>
      <w:iCs/>
      <w:color w:val="2F5597" w:themeColor="accent1" w:themeShade="BF"/>
    </w:rPr>
  </w:style>
  <w:style w:type="character" w:customStyle="1" w:styleId="34">
    <w:name w:val="Intense Reference"/>
    <w:basedOn w:val="15"/>
    <w:qFormat/>
    <w:uiPriority w:val="32"/>
    <w:rPr>
      <w:b/>
      <w:bCs/>
      <w:smallCaps/>
      <w:color w:val="2F5597" w:themeColor="accent1" w:themeShade="BF"/>
      <w:spacing w:val="5"/>
    </w:rPr>
  </w:style>
  <w:style w:type="character" w:customStyle="1" w:styleId="35">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3247</Words>
  <Characters>3654</Characters>
  <Lines>28</Lines>
  <Paragraphs>7</Paragraphs>
  <TotalTime>2</TotalTime>
  <ScaleCrop>false</ScaleCrop>
  <LinksUpToDate>false</LinksUpToDate>
  <CharactersWithSpaces>3662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2025-10-30T02:14:00Z</dcterms:created>
  <dc:creator>宇峰 周</dc:creator>
  <cp:lastModifiedBy>敏</cp:lastModifiedBy>
  <dcterms:modified xsi:type="dcterms:W3CDTF">2025-10-31T03:10:57Z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eyJoZGlkIjoiMmFhZGEwODEyZGJmZjExYTRmMGRhMWJjMTc5ZDhhMzQiLCJ1c2VySWQiOiIxMDM3MDAzMTM0In0=</vt:lpwstr>
  </property>
  <property fmtid="{D5CDD505-2E9C-101B-9397-08002B2CF9AE}" pid="3" name="KSOProductBuildVer">
    <vt:lpwstr>2052-12.1.0.23125</vt:lpwstr>
  </property>
  <property fmtid="{D5CDD505-2E9C-101B-9397-08002B2CF9AE}" pid="4" name="ICV">
    <vt:lpwstr>09F86DF0BC844B6C956F40F6E31EFDA1_12</vt:lpwstr>
  </property>
</Properties>
</file>